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B79B3" w14:textId="77777777" w:rsidR="008A157B" w:rsidRPr="004A06F6"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ind w:right="-23"/>
        <w:jc w:val="center"/>
        <w:rPr>
          <w:b/>
          <w:sz w:val="48"/>
          <w:lang w:val="nl-BE"/>
        </w:rPr>
      </w:pPr>
    </w:p>
    <w:p w14:paraId="6D68937A" w14:textId="77777777" w:rsidR="008A157B" w:rsidRPr="00AE02C5"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ind w:right="-23"/>
        <w:jc w:val="center"/>
        <w:rPr>
          <w:b/>
          <w:sz w:val="40"/>
          <w:lang w:val="nl-BE"/>
        </w:rPr>
      </w:pPr>
      <w:r w:rsidRPr="00AE02C5">
        <w:rPr>
          <w:b/>
          <w:sz w:val="40"/>
          <w:lang w:val="nl-BE"/>
        </w:rPr>
        <w:t>Nationale uitvoeringsmaatregelen van de Verdragen van Genève en de Aanvullende Protocollen</w:t>
      </w:r>
    </w:p>
    <w:p w14:paraId="5FEEAC26" w14:textId="77777777" w:rsidR="008A157B" w:rsidRPr="00AE02C5"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ind w:right="-23"/>
        <w:jc w:val="center"/>
        <w:rPr>
          <w:b/>
          <w:sz w:val="48"/>
          <w:lang w:val="nl-BE"/>
        </w:rPr>
      </w:pPr>
    </w:p>
    <w:p w14:paraId="624F1F52" w14:textId="77777777" w:rsidR="008A157B" w:rsidRPr="00AE02C5"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tabs>
          <w:tab w:val="left" w:pos="1134"/>
        </w:tabs>
        <w:ind w:left="851" w:right="-23" w:hanging="851"/>
        <w:jc w:val="both"/>
        <w:rPr>
          <w:b/>
          <w:sz w:val="22"/>
          <w:lang w:val="nl-BE"/>
        </w:rPr>
      </w:pPr>
      <w:r w:rsidRPr="00AE02C5">
        <w:rPr>
          <w:b/>
          <w:sz w:val="22"/>
          <w:lang w:val="nl-BE"/>
        </w:rPr>
        <w:tab/>
        <w:t>Pilootdepartement: Federale Overheidsdienst Kanselarij van de Eerste Minister</w:t>
      </w:r>
    </w:p>
    <w:p w14:paraId="10716DC0" w14:textId="77777777" w:rsidR="008A157B" w:rsidRPr="00AE02C5"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ind w:left="851" w:right="-23" w:hanging="851"/>
        <w:rPr>
          <w:b/>
          <w:sz w:val="22"/>
          <w:lang w:val="nl-BE"/>
        </w:rPr>
      </w:pPr>
      <w:r w:rsidRPr="00AE02C5">
        <w:rPr>
          <w:b/>
          <w:sz w:val="22"/>
          <w:lang w:val="nl-BE"/>
        </w:rPr>
        <w:tab/>
      </w:r>
    </w:p>
    <w:p w14:paraId="6A8C13DF" w14:textId="77777777" w:rsidR="008A157B" w:rsidRPr="00AE02C5"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ind w:right="-23"/>
        <w:jc w:val="right"/>
        <w:rPr>
          <w:b/>
          <w:lang w:val="nl-BE"/>
        </w:rPr>
      </w:pPr>
    </w:p>
    <w:p w14:paraId="1AE349E6" w14:textId="77777777" w:rsidR="008A157B" w:rsidRPr="00AE02C5"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ind w:right="-23"/>
        <w:jc w:val="right"/>
        <w:rPr>
          <w:b/>
          <w:lang w:val="nl-BE"/>
        </w:rPr>
      </w:pPr>
    </w:p>
    <w:p w14:paraId="1C96C803" w14:textId="77777777" w:rsidR="008A157B" w:rsidRPr="00AE02C5" w:rsidRDefault="008A157B" w:rsidP="008A157B">
      <w:pPr>
        <w:pStyle w:val="Standaard1"/>
        <w:pBdr>
          <w:top w:val="double" w:sz="6" w:space="1" w:color="auto" w:shadow="1"/>
          <w:left w:val="double" w:sz="6" w:space="1" w:color="auto" w:shadow="1"/>
          <w:bottom w:val="double" w:sz="6" w:space="1" w:color="auto" w:shadow="1"/>
          <w:right w:val="double" w:sz="6" w:space="1" w:color="auto" w:shadow="1"/>
        </w:pBdr>
        <w:shd w:val="pct10" w:color="auto" w:fill="auto"/>
        <w:tabs>
          <w:tab w:val="left" w:pos="1134"/>
        </w:tabs>
        <w:ind w:right="-23"/>
        <w:jc w:val="right"/>
        <w:rPr>
          <w:sz w:val="32"/>
          <w:lang w:val="nl-BE"/>
        </w:rPr>
      </w:pPr>
      <w:r w:rsidRPr="00AE02C5">
        <w:rPr>
          <w:b/>
          <w:sz w:val="32"/>
          <w:lang w:val="nl-BE"/>
        </w:rPr>
        <w:t>Werkdocument 01</w:t>
      </w:r>
    </w:p>
    <w:p w14:paraId="5F83CB31" w14:textId="77777777" w:rsidR="008A157B" w:rsidRPr="00AE02C5" w:rsidRDefault="008A157B" w:rsidP="008A157B">
      <w:pPr>
        <w:pStyle w:val="Standaard1"/>
        <w:ind w:right="-23"/>
        <w:rPr>
          <w:sz w:val="22"/>
          <w:lang w:val="nl-BE"/>
        </w:rPr>
      </w:pPr>
    </w:p>
    <w:p w14:paraId="5E17082A" w14:textId="77777777" w:rsidR="008A157B" w:rsidRPr="00AE02C5" w:rsidRDefault="008A157B" w:rsidP="008A157B">
      <w:pPr>
        <w:pStyle w:val="Standaard1"/>
        <w:ind w:right="-23"/>
        <w:rPr>
          <w:sz w:val="22"/>
          <w:lang w:val="nl-BE"/>
        </w:rPr>
      </w:pPr>
    </w:p>
    <w:p w14:paraId="34A12CA5" w14:textId="77777777" w:rsidR="008A157B" w:rsidRPr="00AE02C5" w:rsidRDefault="008A157B" w:rsidP="008A157B">
      <w:pPr>
        <w:pStyle w:val="Standaard1"/>
        <w:shd w:val="pct10" w:color="auto" w:fill="auto"/>
        <w:ind w:left="708" w:hanging="708"/>
        <w:jc w:val="both"/>
        <w:rPr>
          <w:b/>
          <w:sz w:val="22"/>
          <w:lang w:val="nl-BE"/>
        </w:rPr>
      </w:pPr>
      <w:r w:rsidRPr="00AE02C5">
        <w:rPr>
          <w:b/>
          <w:sz w:val="24"/>
          <w:lang w:val="nl-BE"/>
        </w:rPr>
        <w:t>I</w:t>
      </w:r>
      <w:r w:rsidRPr="00AE02C5">
        <w:rPr>
          <w:b/>
          <w:sz w:val="22"/>
          <w:lang w:val="nl-BE"/>
        </w:rPr>
        <w:t>.</w:t>
      </w:r>
      <w:r w:rsidRPr="00AE02C5">
        <w:rPr>
          <w:b/>
          <w:sz w:val="22"/>
          <w:lang w:val="nl-BE"/>
        </w:rPr>
        <w:tab/>
        <w:t>UIT TE VOEREN BEPALINGEN</w:t>
      </w:r>
    </w:p>
    <w:p w14:paraId="263A734F" w14:textId="77777777" w:rsidR="008A157B" w:rsidRPr="00AE02C5" w:rsidRDefault="008A157B" w:rsidP="008A157B">
      <w:pPr>
        <w:pStyle w:val="Standaard1"/>
        <w:ind w:left="708" w:hanging="708"/>
        <w:jc w:val="both"/>
        <w:rPr>
          <w:sz w:val="22"/>
          <w:lang w:val="nl-BE"/>
        </w:rPr>
      </w:pPr>
    </w:p>
    <w:p w14:paraId="2B666E79" w14:textId="77777777" w:rsidR="008A157B" w:rsidRPr="00AE02C5" w:rsidRDefault="008A157B" w:rsidP="008A157B">
      <w:pPr>
        <w:pStyle w:val="Standaard1"/>
        <w:ind w:left="1416" w:hanging="708"/>
        <w:jc w:val="both"/>
        <w:rPr>
          <w:sz w:val="22"/>
          <w:lang w:val="nl-BE"/>
        </w:rPr>
      </w:pPr>
      <w:r w:rsidRPr="00AE02C5">
        <w:rPr>
          <w:sz w:val="22"/>
          <w:lang w:val="nl-BE"/>
        </w:rPr>
        <w:t>A.</w:t>
      </w:r>
      <w:r w:rsidRPr="00AE02C5">
        <w:rPr>
          <w:sz w:val="22"/>
          <w:lang w:val="nl-BE"/>
        </w:rPr>
        <w:tab/>
        <w:t>Rechtsgrond</w:t>
      </w:r>
    </w:p>
    <w:p w14:paraId="13A8EA75" w14:textId="77777777" w:rsidR="008A157B" w:rsidRPr="00AE02C5" w:rsidRDefault="008A157B" w:rsidP="008A157B">
      <w:pPr>
        <w:pStyle w:val="Standaard1"/>
        <w:ind w:left="1416" w:hanging="708"/>
        <w:jc w:val="both"/>
        <w:rPr>
          <w:sz w:val="22"/>
          <w:lang w:val="nl-BE"/>
        </w:rPr>
      </w:pPr>
    </w:p>
    <w:p w14:paraId="52373D74" w14:textId="77777777" w:rsidR="008A157B" w:rsidRPr="00AE02C5" w:rsidRDefault="008A157B" w:rsidP="008A157B">
      <w:pPr>
        <w:pStyle w:val="Standaard1"/>
        <w:ind w:left="1416" w:hanging="708"/>
        <w:jc w:val="both"/>
        <w:rPr>
          <w:sz w:val="22"/>
          <w:u w:val="single"/>
          <w:lang w:val="nl-BE"/>
        </w:rPr>
      </w:pPr>
      <w:r w:rsidRPr="00AE02C5">
        <w:rPr>
          <w:sz w:val="22"/>
          <w:u w:val="single"/>
          <w:lang w:val="nl-BE"/>
        </w:rPr>
        <w:t>Inleidende opmerking</w:t>
      </w:r>
    </w:p>
    <w:p w14:paraId="2C3D78C3" w14:textId="77777777" w:rsidR="008A157B" w:rsidRPr="00AE02C5" w:rsidRDefault="008A157B" w:rsidP="008A157B">
      <w:pPr>
        <w:pStyle w:val="Standaard1"/>
        <w:ind w:left="1416" w:hanging="708"/>
        <w:jc w:val="both"/>
        <w:rPr>
          <w:sz w:val="22"/>
          <w:lang w:val="nl-BE"/>
        </w:rPr>
      </w:pPr>
    </w:p>
    <w:p w14:paraId="4D4EA0B7" w14:textId="77777777" w:rsidR="008A157B" w:rsidRPr="00AE02C5" w:rsidRDefault="008A157B" w:rsidP="008A157B">
      <w:pPr>
        <w:pStyle w:val="Standaard1"/>
        <w:ind w:left="708"/>
        <w:jc w:val="both"/>
        <w:rPr>
          <w:sz w:val="22"/>
          <w:lang w:val="nl-BE"/>
        </w:rPr>
      </w:pPr>
      <w:r w:rsidRPr="00AE02C5">
        <w:rPr>
          <w:sz w:val="22"/>
          <w:lang w:val="nl-BE"/>
        </w:rPr>
        <w:t xml:space="preserve">De hieronder vermelde bepalingen zijn die welke expliciet verwijzen naar de plicht van de Verdragsluitende Staten om alle noodzakelijke maatregelen te nemen voor de nakoming van hun verplichtingen krachtens de vermelde verdragen inzake IHR, namelijk de vier Verdragen van Genève van 1949 en het Aanvullend Protocol I van 1977. </w:t>
      </w:r>
    </w:p>
    <w:p w14:paraId="5C785815" w14:textId="77777777" w:rsidR="008A157B" w:rsidRPr="00AE02C5" w:rsidRDefault="008A157B" w:rsidP="008A157B">
      <w:pPr>
        <w:pStyle w:val="Standaard1"/>
        <w:ind w:left="708"/>
        <w:jc w:val="both"/>
        <w:rPr>
          <w:sz w:val="22"/>
          <w:lang w:val="nl-BE"/>
        </w:rPr>
      </w:pPr>
    </w:p>
    <w:p w14:paraId="0FD80209" w14:textId="1B19032D" w:rsidR="008A157B" w:rsidRPr="00AE02C5" w:rsidRDefault="000772BB" w:rsidP="008A157B">
      <w:pPr>
        <w:pStyle w:val="Standaard1"/>
        <w:ind w:left="708"/>
        <w:jc w:val="both"/>
        <w:rPr>
          <w:sz w:val="22"/>
          <w:lang w:val="nl-BE"/>
        </w:rPr>
      </w:pPr>
      <w:r w:rsidRPr="00AE02C5">
        <w:rPr>
          <w:sz w:val="22"/>
          <w:lang w:val="nl-BE"/>
        </w:rPr>
        <w:t>Het is</w:t>
      </w:r>
      <w:r w:rsidR="00F076A2" w:rsidRPr="00AE02C5">
        <w:rPr>
          <w:sz w:val="22"/>
          <w:lang w:val="nl-BE"/>
        </w:rPr>
        <w:t xml:space="preserve"> </w:t>
      </w:r>
      <w:r w:rsidRPr="00AE02C5">
        <w:rPr>
          <w:sz w:val="22"/>
          <w:lang w:val="nl-BE"/>
        </w:rPr>
        <w:t xml:space="preserve">echter </w:t>
      </w:r>
      <w:r w:rsidR="00F076A2" w:rsidRPr="00AE02C5">
        <w:rPr>
          <w:sz w:val="22"/>
          <w:lang w:val="nl-BE"/>
        </w:rPr>
        <w:t>belangrijk in herinnering te brengen dat a</w:t>
      </w:r>
      <w:r w:rsidR="008A157B" w:rsidRPr="00AE02C5">
        <w:rPr>
          <w:sz w:val="22"/>
          <w:lang w:val="nl-BE"/>
        </w:rPr>
        <w:t xml:space="preserve">lle verdragen inzake IHR vereisen dat in vredestijd </w:t>
      </w:r>
      <w:r w:rsidR="00F076A2" w:rsidRPr="00AE02C5">
        <w:rPr>
          <w:sz w:val="22"/>
          <w:lang w:val="nl-BE"/>
        </w:rPr>
        <w:t>reeds</w:t>
      </w:r>
      <w:r w:rsidR="008A157B" w:rsidRPr="00AE02C5">
        <w:rPr>
          <w:sz w:val="22"/>
          <w:lang w:val="nl-BE"/>
        </w:rPr>
        <w:t xml:space="preserve"> nationale uitvoeringsmaatregelen worden genomen om ervoor te zorgen dat deze verdragen in geval van een gewapend conflict volledig worden nageleefd, ook al is een dergelijke verplichting niet expliciet vermeld. Het betreft met name het Aanvullend Protocol II van 1977 en het Aanvullend Protocol III van 2005.</w:t>
      </w:r>
    </w:p>
    <w:p w14:paraId="6CD2D607" w14:textId="77777777" w:rsidR="008A157B" w:rsidRPr="00AE02C5" w:rsidRDefault="008A157B" w:rsidP="008A157B">
      <w:pPr>
        <w:pStyle w:val="Standaard1"/>
        <w:ind w:left="2124" w:hanging="708"/>
        <w:jc w:val="both"/>
        <w:rPr>
          <w:sz w:val="22"/>
          <w:lang w:val="nl-BE"/>
        </w:rPr>
      </w:pPr>
    </w:p>
    <w:p w14:paraId="6F69C4AC" w14:textId="77777777" w:rsidR="008A157B" w:rsidRPr="00AE02C5" w:rsidRDefault="008A157B" w:rsidP="008A157B">
      <w:pPr>
        <w:pStyle w:val="Standaard1"/>
        <w:ind w:left="708" w:hanging="708"/>
        <w:jc w:val="both"/>
        <w:rPr>
          <w:sz w:val="22"/>
          <w:lang w:val="nl-BE"/>
        </w:rPr>
      </w:pPr>
    </w:p>
    <w:p w14:paraId="47AAFDAF" w14:textId="77777777" w:rsidR="008A157B" w:rsidRPr="00AE02C5" w:rsidRDefault="008A157B" w:rsidP="008A157B">
      <w:pPr>
        <w:pStyle w:val="Standaard1"/>
        <w:ind w:left="2124" w:hanging="708"/>
        <w:jc w:val="both"/>
        <w:rPr>
          <w:sz w:val="22"/>
          <w:lang w:val="nl-BE"/>
        </w:rPr>
      </w:pPr>
      <w:r w:rsidRPr="00AE02C5">
        <w:rPr>
          <w:sz w:val="22"/>
          <w:lang w:val="nl-BE"/>
        </w:rPr>
        <w:t>1.</w:t>
      </w:r>
      <w:r w:rsidRPr="00AE02C5">
        <w:rPr>
          <w:sz w:val="22"/>
          <w:lang w:val="nl-BE"/>
        </w:rPr>
        <w:tab/>
        <w:t>Internationaal recht</w:t>
      </w:r>
    </w:p>
    <w:p w14:paraId="05D2FE84" w14:textId="77777777" w:rsidR="008A157B" w:rsidRPr="00AE02C5" w:rsidRDefault="008A157B" w:rsidP="008A157B">
      <w:pPr>
        <w:pStyle w:val="Standaard1"/>
        <w:ind w:left="283" w:hanging="283"/>
        <w:jc w:val="both"/>
        <w:rPr>
          <w:sz w:val="22"/>
          <w:lang w:val="nl-BE"/>
        </w:rPr>
      </w:pPr>
    </w:p>
    <w:p w14:paraId="0A7ABC90" w14:textId="77777777" w:rsidR="008A157B" w:rsidRPr="00AE02C5" w:rsidRDefault="008A157B" w:rsidP="008A157B">
      <w:pPr>
        <w:pStyle w:val="Standaard1"/>
        <w:ind w:left="2832" w:hanging="708"/>
        <w:jc w:val="both"/>
        <w:rPr>
          <w:sz w:val="22"/>
          <w:lang w:val="nl-BE"/>
        </w:rPr>
      </w:pPr>
      <w:r w:rsidRPr="00AE02C5">
        <w:rPr>
          <w:sz w:val="22"/>
          <w:lang w:val="nl-BE"/>
        </w:rPr>
        <w:t>a)</w:t>
      </w:r>
      <w:r w:rsidRPr="00AE02C5">
        <w:rPr>
          <w:sz w:val="22"/>
          <w:lang w:val="nl-BE"/>
        </w:rPr>
        <w:tab/>
      </w:r>
      <w:bookmarkStart w:id="0" w:name="_Hlk536707707"/>
      <w:r w:rsidRPr="00AE02C5">
        <w:rPr>
          <w:sz w:val="22"/>
          <w:lang w:val="nl-BE"/>
        </w:rPr>
        <w:t>Aanvullend Protocol bij de Verdragen van Genève van 12 augustus 1949 inzake de bescherming van de slachtoffers van internationale gewapende conflicten, van 8 juni 1977 (P I – artikel 1, artikel 80 en, meer in het bijzonder, artikel 84).</w:t>
      </w:r>
    </w:p>
    <w:p w14:paraId="21A0930B" w14:textId="77777777" w:rsidR="008A157B" w:rsidRPr="00AE02C5" w:rsidRDefault="008A157B" w:rsidP="008A157B">
      <w:pPr>
        <w:pStyle w:val="Standaard1"/>
        <w:ind w:left="708" w:hanging="708"/>
        <w:jc w:val="both"/>
        <w:rPr>
          <w:sz w:val="22"/>
          <w:lang w:val="nl-BE"/>
        </w:rPr>
      </w:pPr>
    </w:p>
    <w:p w14:paraId="2835BF5A" w14:textId="74A77A16" w:rsidR="008A157B" w:rsidRPr="00AE02C5" w:rsidRDefault="008A157B" w:rsidP="008A157B">
      <w:pPr>
        <w:pStyle w:val="Standaard1"/>
        <w:ind w:left="2832" w:hanging="708"/>
        <w:jc w:val="both"/>
        <w:rPr>
          <w:sz w:val="22"/>
          <w:lang w:val="nl-BE"/>
        </w:rPr>
      </w:pPr>
      <w:r w:rsidRPr="00AE02C5">
        <w:rPr>
          <w:sz w:val="22"/>
          <w:lang w:val="nl-BE"/>
        </w:rPr>
        <w:t>b)</w:t>
      </w:r>
      <w:r w:rsidRPr="00AE02C5">
        <w:rPr>
          <w:sz w:val="22"/>
          <w:lang w:val="nl-BE"/>
        </w:rPr>
        <w:tab/>
        <w:t>Verdrag van Genève voor de verbetering van het lot der gewonden en zieken, zich bevindende bij de strijdkrachten te velde, van 12 augustus 1949 (C I – artikelen 1, 45 en 48).</w:t>
      </w:r>
    </w:p>
    <w:p w14:paraId="30FA9592" w14:textId="77777777" w:rsidR="008A157B" w:rsidRPr="00AE02C5" w:rsidRDefault="008A157B" w:rsidP="008A157B">
      <w:pPr>
        <w:pStyle w:val="Standaard1"/>
        <w:ind w:left="708" w:hanging="708"/>
        <w:jc w:val="both"/>
        <w:rPr>
          <w:sz w:val="22"/>
          <w:lang w:val="nl-BE"/>
        </w:rPr>
      </w:pPr>
    </w:p>
    <w:p w14:paraId="1848CC85" w14:textId="77777777" w:rsidR="008A157B" w:rsidRPr="00AE02C5" w:rsidRDefault="008A157B" w:rsidP="008A157B">
      <w:pPr>
        <w:pStyle w:val="Standaard1"/>
        <w:ind w:left="2832" w:hanging="708"/>
        <w:jc w:val="both"/>
        <w:rPr>
          <w:sz w:val="22"/>
          <w:lang w:val="nl-BE"/>
        </w:rPr>
      </w:pPr>
      <w:r w:rsidRPr="00AE02C5">
        <w:rPr>
          <w:sz w:val="22"/>
          <w:lang w:val="nl-BE"/>
        </w:rPr>
        <w:t>c)</w:t>
      </w:r>
      <w:r w:rsidRPr="00AE02C5">
        <w:rPr>
          <w:sz w:val="22"/>
          <w:lang w:val="nl-BE"/>
        </w:rPr>
        <w:tab/>
        <w:t xml:space="preserve">Verdrag van Genève voor de verbetering van het lot der gewonden, zieken en schipbreukelingen van de strijdkrachten ter zee, van 12 augustus 1949 (C II </w:t>
      </w:r>
      <w:bookmarkStart w:id="1" w:name="_Hlk536189572"/>
      <w:r w:rsidRPr="00AE02C5">
        <w:rPr>
          <w:sz w:val="22"/>
          <w:lang w:val="nl-BE"/>
        </w:rPr>
        <w:t>–</w:t>
      </w:r>
      <w:bookmarkEnd w:id="1"/>
      <w:r w:rsidRPr="00AE02C5">
        <w:rPr>
          <w:sz w:val="22"/>
          <w:lang w:val="nl-BE"/>
        </w:rPr>
        <w:t xml:space="preserve"> artikelen 1, 46 en 49).</w:t>
      </w:r>
    </w:p>
    <w:bookmarkEnd w:id="0"/>
    <w:p w14:paraId="3BDAD2EC" w14:textId="77777777" w:rsidR="008A157B" w:rsidRPr="00AE02C5" w:rsidRDefault="008A157B" w:rsidP="008A157B">
      <w:pPr>
        <w:pStyle w:val="Standaard1"/>
        <w:ind w:left="708" w:hanging="708"/>
        <w:jc w:val="both"/>
        <w:rPr>
          <w:sz w:val="22"/>
          <w:lang w:val="nl-BE"/>
        </w:rPr>
      </w:pPr>
    </w:p>
    <w:p w14:paraId="54DA81F2" w14:textId="77777777" w:rsidR="008A157B" w:rsidRPr="00AE02C5" w:rsidRDefault="008A157B" w:rsidP="008A157B">
      <w:pPr>
        <w:pStyle w:val="Standaard1"/>
        <w:ind w:left="2832" w:hanging="708"/>
        <w:jc w:val="both"/>
        <w:rPr>
          <w:sz w:val="22"/>
          <w:lang w:val="nl-BE"/>
        </w:rPr>
      </w:pPr>
      <w:r w:rsidRPr="00AE02C5">
        <w:rPr>
          <w:sz w:val="22"/>
          <w:lang w:val="nl-BE"/>
        </w:rPr>
        <w:t>d)</w:t>
      </w:r>
      <w:r w:rsidRPr="00AE02C5">
        <w:rPr>
          <w:sz w:val="22"/>
          <w:lang w:val="nl-BE"/>
        </w:rPr>
        <w:tab/>
      </w:r>
      <w:bookmarkStart w:id="2" w:name="_Hlk536707802"/>
      <w:r w:rsidRPr="00AE02C5">
        <w:rPr>
          <w:sz w:val="22"/>
          <w:lang w:val="nl-BE"/>
        </w:rPr>
        <w:t>Verdrag van Genève betreffende de behandeling van krijgsgevangenen, van 12 augustus 1949 (C III – artikelen 1 en 128).</w:t>
      </w:r>
    </w:p>
    <w:p w14:paraId="5DB8156D" w14:textId="77777777" w:rsidR="008A157B" w:rsidRPr="00AE02C5" w:rsidRDefault="008A157B" w:rsidP="008A157B">
      <w:pPr>
        <w:pStyle w:val="Standaard1"/>
        <w:ind w:left="708" w:hanging="708"/>
        <w:jc w:val="both"/>
        <w:rPr>
          <w:sz w:val="22"/>
          <w:lang w:val="nl-BE"/>
        </w:rPr>
      </w:pPr>
    </w:p>
    <w:p w14:paraId="7A1AE1BE" w14:textId="77777777" w:rsidR="008A157B" w:rsidRPr="00AE02C5" w:rsidRDefault="008A157B" w:rsidP="008A157B">
      <w:pPr>
        <w:pStyle w:val="Standaard1"/>
        <w:ind w:left="2832" w:hanging="708"/>
        <w:jc w:val="both"/>
        <w:rPr>
          <w:sz w:val="22"/>
          <w:lang w:val="nl-BE"/>
        </w:rPr>
      </w:pPr>
      <w:r w:rsidRPr="00AE02C5">
        <w:rPr>
          <w:sz w:val="22"/>
          <w:lang w:val="nl-BE"/>
        </w:rPr>
        <w:lastRenderedPageBreak/>
        <w:t>e)</w:t>
      </w:r>
      <w:r w:rsidRPr="00AE02C5">
        <w:rPr>
          <w:sz w:val="22"/>
          <w:lang w:val="nl-BE"/>
        </w:rPr>
        <w:tab/>
        <w:t>Verdrag van Genève betreffende de bescherming van burgers in oorlogstijd, van 12 augustus 1949 (C IV – artikelen 1 en 145).</w:t>
      </w:r>
    </w:p>
    <w:bookmarkEnd w:id="2"/>
    <w:p w14:paraId="74532C7B" w14:textId="77777777" w:rsidR="008A157B" w:rsidRPr="00AE02C5" w:rsidRDefault="008A157B" w:rsidP="008A157B">
      <w:pPr>
        <w:pStyle w:val="Standaard1"/>
        <w:ind w:left="708" w:hanging="708"/>
        <w:jc w:val="both"/>
        <w:rPr>
          <w:sz w:val="22"/>
          <w:lang w:val="nl-BE"/>
        </w:rPr>
      </w:pPr>
    </w:p>
    <w:p w14:paraId="35DE71A1" w14:textId="77777777" w:rsidR="008A157B" w:rsidRPr="00AE02C5" w:rsidRDefault="008A157B" w:rsidP="008A157B">
      <w:pPr>
        <w:pStyle w:val="Standaard1"/>
        <w:ind w:left="2124" w:hanging="708"/>
        <w:jc w:val="both"/>
        <w:rPr>
          <w:sz w:val="22"/>
          <w:lang w:val="nl-BE"/>
        </w:rPr>
      </w:pPr>
      <w:r w:rsidRPr="00AE02C5">
        <w:rPr>
          <w:sz w:val="22"/>
          <w:lang w:val="nl-BE"/>
        </w:rPr>
        <w:t>2.</w:t>
      </w:r>
      <w:r w:rsidRPr="00AE02C5">
        <w:rPr>
          <w:sz w:val="22"/>
          <w:lang w:val="nl-BE"/>
        </w:rPr>
        <w:tab/>
        <w:t>Nationaal recht</w:t>
      </w:r>
    </w:p>
    <w:p w14:paraId="31BA0C93" w14:textId="77777777" w:rsidR="008A157B" w:rsidRPr="00AE02C5" w:rsidRDefault="008A157B" w:rsidP="008A157B">
      <w:pPr>
        <w:pStyle w:val="Standaard1"/>
        <w:ind w:left="708" w:hanging="708"/>
        <w:jc w:val="both"/>
        <w:rPr>
          <w:sz w:val="22"/>
          <w:lang w:val="nl-BE"/>
        </w:rPr>
      </w:pPr>
    </w:p>
    <w:p w14:paraId="49812A22" w14:textId="439E10B6" w:rsidR="008A157B" w:rsidRPr="00AE02C5" w:rsidRDefault="008A157B" w:rsidP="008A157B">
      <w:pPr>
        <w:pStyle w:val="Standaard1"/>
        <w:ind w:left="2832" w:hanging="708"/>
        <w:jc w:val="both"/>
        <w:rPr>
          <w:sz w:val="22"/>
          <w:lang w:val="nl-BE"/>
        </w:rPr>
      </w:pPr>
      <w:r w:rsidRPr="00AE02C5">
        <w:rPr>
          <w:sz w:val="22"/>
          <w:lang w:val="nl-BE"/>
        </w:rPr>
        <w:t>a)</w:t>
      </w:r>
      <w:r w:rsidRPr="00AE02C5">
        <w:rPr>
          <w:sz w:val="22"/>
          <w:lang w:val="nl-BE"/>
        </w:rPr>
        <w:tab/>
      </w:r>
      <w:bookmarkStart w:id="3" w:name="_Hlk536707851"/>
      <w:r w:rsidRPr="00AE02C5">
        <w:rPr>
          <w:sz w:val="22"/>
          <w:lang w:val="nl-BE"/>
        </w:rPr>
        <w:t>Wet van 16 april 1986 houdende goedkeuring van het Aanvullend Protocol I (</w:t>
      </w:r>
      <w:r w:rsidRPr="00AE02C5">
        <w:rPr>
          <w:i/>
          <w:sz w:val="22"/>
          <w:lang w:val="nl-BE"/>
        </w:rPr>
        <w:t>Belgisch Staatsblad</w:t>
      </w:r>
      <w:r w:rsidRPr="00AE02C5">
        <w:rPr>
          <w:sz w:val="22"/>
          <w:lang w:val="nl-BE"/>
        </w:rPr>
        <w:t xml:space="preserve"> van 7 november 1986).</w:t>
      </w:r>
    </w:p>
    <w:p w14:paraId="7B3A462C" w14:textId="77777777" w:rsidR="008A157B" w:rsidRPr="00AE02C5" w:rsidRDefault="008A157B" w:rsidP="008A157B">
      <w:pPr>
        <w:pStyle w:val="Standaard1"/>
        <w:ind w:left="708" w:hanging="708"/>
        <w:jc w:val="both"/>
        <w:rPr>
          <w:sz w:val="22"/>
          <w:lang w:val="nl-BE"/>
        </w:rPr>
      </w:pPr>
    </w:p>
    <w:p w14:paraId="05A2EE70" w14:textId="1B4F1324" w:rsidR="008A157B" w:rsidRPr="00AE02C5" w:rsidRDefault="008A157B" w:rsidP="008A157B">
      <w:pPr>
        <w:pStyle w:val="Standaard1"/>
        <w:numPr>
          <w:ilvl w:val="0"/>
          <w:numId w:val="6"/>
        </w:numPr>
        <w:jc w:val="both"/>
        <w:rPr>
          <w:sz w:val="22"/>
          <w:lang w:val="nl-BE"/>
        </w:rPr>
      </w:pPr>
      <w:r w:rsidRPr="00AE02C5">
        <w:rPr>
          <w:sz w:val="22"/>
          <w:lang w:val="nl-BE"/>
        </w:rPr>
        <w:t>Wet van 3 september 1952 houdende goedkeuring van de vier Verdragen van Genève van 12 augustus 1949 (</w:t>
      </w:r>
      <w:r w:rsidRPr="00AE02C5">
        <w:rPr>
          <w:i/>
          <w:sz w:val="22"/>
          <w:lang w:val="nl-BE"/>
        </w:rPr>
        <w:t>Belgisch Staatsblad</w:t>
      </w:r>
      <w:r w:rsidRPr="00AE02C5">
        <w:rPr>
          <w:sz w:val="22"/>
          <w:lang w:val="nl-BE"/>
        </w:rPr>
        <w:t xml:space="preserve"> van 26 september 1952).</w:t>
      </w:r>
    </w:p>
    <w:bookmarkEnd w:id="3"/>
    <w:p w14:paraId="56A1FA41" w14:textId="77777777" w:rsidR="008A157B" w:rsidRPr="00AE02C5" w:rsidRDefault="008A157B" w:rsidP="008A157B">
      <w:pPr>
        <w:pStyle w:val="Standaard1"/>
        <w:ind w:left="2124"/>
        <w:jc w:val="both"/>
        <w:rPr>
          <w:sz w:val="22"/>
          <w:lang w:val="nl-BE"/>
        </w:rPr>
      </w:pPr>
    </w:p>
    <w:p w14:paraId="1F0A78F7" w14:textId="77777777" w:rsidR="008A157B" w:rsidRPr="00AE02C5" w:rsidRDefault="008A157B" w:rsidP="008A157B">
      <w:pPr>
        <w:pStyle w:val="Standaard1"/>
        <w:jc w:val="both"/>
        <w:rPr>
          <w:sz w:val="22"/>
          <w:lang w:val="nl-BE"/>
        </w:rPr>
      </w:pPr>
    </w:p>
    <w:p w14:paraId="6FCF5E0A" w14:textId="77777777" w:rsidR="008A157B" w:rsidRPr="00AE02C5" w:rsidRDefault="008A157B" w:rsidP="008A157B">
      <w:pPr>
        <w:pStyle w:val="Standaard1"/>
        <w:ind w:left="708" w:hanging="708"/>
        <w:jc w:val="both"/>
        <w:rPr>
          <w:sz w:val="22"/>
          <w:lang w:val="nl-BE"/>
        </w:rPr>
      </w:pPr>
      <w:r w:rsidRPr="00AE02C5">
        <w:rPr>
          <w:sz w:val="22"/>
          <w:lang w:val="nl-BE"/>
        </w:rPr>
        <w:t>B.</w:t>
      </w:r>
      <w:r w:rsidRPr="00AE02C5">
        <w:rPr>
          <w:sz w:val="22"/>
          <w:lang w:val="nl-BE"/>
        </w:rPr>
        <w:tab/>
      </w:r>
      <w:bookmarkStart w:id="4" w:name="_Hlk536652093"/>
      <w:r w:rsidRPr="00AE02C5">
        <w:rPr>
          <w:sz w:val="22"/>
          <w:lang w:val="nl-BE"/>
        </w:rPr>
        <w:t>Analyse van de te nemen maatregelen</w:t>
      </w:r>
    </w:p>
    <w:p w14:paraId="01579C53" w14:textId="77777777" w:rsidR="008A157B" w:rsidRPr="00AE02C5" w:rsidRDefault="008A157B" w:rsidP="008A157B">
      <w:pPr>
        <w:pStyle w:val="Standaard1"/>
        <w:ind w:left="708" w:hanging="708"/>
        <w:jc w:val="both"/>
        <w:rPr>
          <w:sz w:val="22"/>
          <w:lang w:val="nl-BE"/>
        </w:rPr>
      </w:pPr>
    </w:p>
    <w:p w14:paraId="1914C4D7" w14:textId="7DA8DC1E" w:rsidR="008A157B" w:rsidRPr="00AE02C5" w:rsidRDefault="008A157B" w:rsidP="008A157B">
      <w:pPr>
        <w:pStyle w:val="Standaard1"/>
        <w:ind w:left="2124" w:hanging="708"/>
        <w:jc w:val="both"/>
        <w:rPr>
          <w:sz w:val="22"/>
          <w:lang w:val="nl-BE"/>
        </w:rPr>
      </w:pPr>
      <w:r w:rsidRPr="00AE02C5">
        <w:rPr>
          <w:sz w:val="22"/>
          <w:lang w:val="nl-BE"/>
        </w:rPr>
        <w:t>1.</w:t>
      </w:r>
      <w:r w:rsidRPr="00AE02C5">
        <w:rPr>
          <w:sz w:val="22"/>
          <w:lang w:val="nl-BE"/>
        </w:rPr>
        <w:tab/>
        <w:t>Artikel 80 van het</w:t>
      </w:r>
      <w:r w:rsidR="007478BF" w:rsidRPr="00AE02C5">
        <w:rPr>
          <w:sz w:val="22"/>
          <w:lang w:val="nl-BE"/>
        </w:rPr>
        <w:t xml:space="preserve"> eerste</w:t>
      </w:r>
      <w:r w:rsidRPr="00AE02C5">
        <w:rPr>
          <w:sz w:val="22"/>
          <w:lang w:val="nl-BE"/>
        </w:rPr>
        <w:t xml:space="preserve"> </w:t>
      </w:r>
      <w:bookmarkStart w:id="5" w:name="_Hlk536455663"/>
      <w:r w:rsidRPr="00AE02C5">
        <w:rPr>
          <w:sz w:val="22"/>
          <w:lang w:val="nl-BE"/>
        </w:rPr>
        <w:t xml:space="preserve">Aanvullend Protocol </w:t>
      </w:r>
    </w:p>
    <w:bookmarkEnd w:id="5"/>
    <w:p w14:paraId="4CD037C9" w14:textId="77777777" w:rsidR="008A157B" w:rsidRPr="00AE02C5" w:rsidRDefault="008A157B" w:rsidP="008A157B">
      <w:pPr>
        <w:pStyle w:val="Standaard1"/>
        <w:ind w:left="708" w:hanging="708"/>
        <w:jc w:val="both"/>
        <w:rPr>
          <w:sz w:val="22"/>
          <w:lang w:val="nl-BE"/>
        </w:rPr>
      </w:pPr>
    </w:p>
    <w:p w14:paraId="6AF8EA87" w14:textId="77777777" w:rsidR="008A157B" w:rsidRPr="00AE02C5" w:rsidRDefault="008A157B" w:rsidP="008A157B">
      <w:pPr>
        <w:pStyle w:val="Standaard1"/>
        <w:ind w:left="2124"/>
        <w:jc w:val="both"/>
        <w:rPr>
          <w:sz w:val="22"/>
          <w:lang w:val="nl-BE"/>
        </w:rPr>
      </w:pPr>
      <w:bookmarkStart w:id="6" w:name="_Hlk536662530"/>
      <w:r w:rsidRPr="00AE02C5">
        <w:rPr>
          <w:sz w:val="22"/>
          <w:lang w:val="nl-BE"/>
        </w:rPr>
        <w:t>De ratificatie van de vier Verdragen van Genève en van de twee Aanvullende Protocollen bij deze verdragen omvat, voor de Staten die Partij zijn bij deze verdragen, de verplichting om deze internationale instrumenten onder alle omstandigheden te eerbiedigen en te doen eerbiedigen (P I - artikel 1,1°; C I - IV - gemeenschappelijk artikel 1).</w:t>
      </w:r>
    </w:p>
    <w:p w14:paraId="6A4A30BB" w14:textId="77777777" w:rsidR="008A157B" w:rsidRPr="00AE02C5" w:rsidRDefault="008A157B" w:rsidP="008A157B">
      <w:pPr>
        <w:pStyle w:val="Standaard1"/>
        <w:ind w:left="2124" w:hanging="708"/>
        <w:jc w:val="both"/>
        <w:rPr>
          <w:sz w:val="22"/>
          <w:lang w:val="nl-BE"/>
        </w:rPr>
      </w:pPr>
    </w:p>
    <w:p w14:paraId="3B3C6128" w14:textId="6F8DADED" w:rsidR="008A157B" w:rsidRPr="00AE02C5" w:rsidRDefault="008A157B" w:rsidP="008A157B">
      <w:pPr>
        <w:pStyle w:val="Standaard1"/>
        <w:ind w:left="2124"/>
        <w:jc w:val="both"/>
        <w:rPr>
          <w:sz w:val="22"/>
          <w:lang w:val="nl-BE"/>
        </w:rPr>
      </w:pPr>
      <w:r w:rsidRPr="00AE02C5">
        <w:rPr>
          <w:sz w:val="22"/>
          <w:lang w:val="nl-BE"/>
        </w:rPr>
        <w:t>Om het internationaal humanitair recht</w:t>
      </w:r>
      <w:r w:rsidR="00F076A2" w:rsidRPr="00AE02C5">
        <w:rPr>
          <w:sz w:val="22"/>
          <w:lang w:val="nl-BE"/>
        </w:rPr>
        <w:t>,</w:t>
      </w:r>
      <w:r w:rsidRPr="00AE02C5">
        <w:rPr>
          <w:sz w:val="22"/>
          <w:lang w:val="nl-BE"/>
        </w:rPr>
        <w:t xml:space="preserve"> in geval van een gewapend conflict</w:t>
      </w:r>
      <w:r w:rsidR="00F076A2" w:rsidRPr="00AE02C5">
        <w:rPr>
          <w:sz w:val="22"/>
          <w:lang w:val="nl-BE"/>
        </w:rPr>
        <w:t>,</w:t>
      </w:r>
      <w:r w:rsidRPr="00AE02C5">
        <w:rPr>
          <w:sz w:val="22"/>
          <w:lang w:val="nl-BE"/>
        </w:rPr>
        <w:t xml:space="preserve"> correct te kunnen toepassen, zijn de Staten verplicht om al in vredestijd een aantal </w:t>
      </w:r>
      <w:r w:rsidR="00746128" w:rsidRPr="00AE02C5">
        <w:rPr>
          <w:sz w:val="22"/>
          <w:lang w:val="nl-BE"/>
        </w:rPr>
        <w:t xml:space="preserve">interne </w:t>
      </w:r>
      <w:r w:rsidRPr="00AE02C5">
        <w:rPr>
          <w:sz w:val="22"/>
          <w:lang w:val="nl-BE"/>
        </w:rPr>
        <w:t>maatregelen te nemen. Deze maatregelen kunnen van wetgevende, reglementaire, administratieve, operationele of praktische aard zijn.</w:t>
      </w:r>
    </w:p>
    <w:bookmarkEnd w:id="4"/>
    <w:p w14:paraId="1668129A" w14:textId="77777777" w:rsidR="008A157B" w:rsidRPr="00AE02C5" w:rsidRDefault="008A157B" w:rsidP="008A157B">
      <w:pPr>
        <w:pStyle w:val="Standaard1"/>
        <w:ind w:left="2124" w:hanging="708"/>
        <w:jc w:val="both"/>
        <w:rPr>
          <w:sz w:val="22"/>
          <w:lang w:val="nl-BE"/>
        </w:rPr>
      </w:pPr>
    </w:p>
    <w:p w14:paraId="319E53F8" w14:textId="299B98DC" w:rsidR="008A157B" w:rsidRPr="00AE02C5" w:rsidRDefault="008A157B" w:rsidP="008A157B">
      <w:pPr>
        <w:pStyle w:val="Standaard1"/>
        <w:ind w:left="2124"/>
        <w:jc w:val="both"/>
        <w:rPr>
          <w:sz w:val="22"/>
          <w:lang w:val="nl-BE"/>
        </w:rPr>
      </w:pPr>
      <w:bookmarkStart w:id="7" w:name="_Hlk536652963"/>
      <w:r w:rsidRPr="00AE02C5">
        <w:rPr>
          <w:sz w:val="22"/>
          <w:lang w:val="nl-BE"/>
        </w:rPr>
        <w:t>Hoewel de Verdragen van Genève (C I - artikel 45 en C II - artikel 46) de Staten al verplichtten om te voorzien in de uitvoeringsdetails van deze verdragen, vormt artikel 80 van het</w:t>
      </w:r>
      <w:r w:rsidR="00746128" w:rsidRPr="00AE02C5">
        <w:rPr>
          <w:sz w:val="22"/>
          <w:lang w:val="nl-BE"/>
        </w:rPr>
        <w:t xml:space="preserve"> eerste</w:t>
      </w:r>
      <w:r w:rsidRPr="00AE02C5">
        <w:rPr>
          <w:sz w:val="22"/>
          <w:lang w:val="nl-BE"/>
        </w:rPr>
        <w:t xml:space="preserve"> Aanvullend Protocol terzake een heel algemene en uitdrukkelijke bepaling: het nemen van maatregelen voor de uitvoering van de instrumenten van het humanitair recht is een verplichting en een verantwoordelijkheid van de Staten die Partij zijn bij deze verdragen.</w:t>
      </w:r>
    </w:p>
    <w:p w14:paraId="22082983" w14:textId="77777777" w:rsidR="008A157B" w:rsidRPr="00AE02C5" w:rsidRDefault="008A157B" w:rsidP="008A157B">
      <w:pPr>
        <w:pStyle w:val="Standaard1"/>
        <w:ind w:left="708" w:hanging="708"/>
        <w:jc w:val="both"/>
        <w:rPr>
          <w:sz w:val="22"/>
          <w:lang w:val="nl-BE"/>
        </w:rPr>
      </w:pPr>
    </w:p>
    <w:bookmarkEnd w:id="7"/>
    <w:p w14:paraId="2E2D46F4" w14:textId="77777777" w:rsidR="008A157B" w:rsidRPr="00AE02C5" w:rsidRDefault="008A157B" w:rsidP="008A157B">
      <w:pPr>
        <w:pStyle w:val="Standaard1"/>
        <w:ind w:left="2124"/>
        <w:jc w:val="both"/>
        <w:rPr>
          <w:sz w:val="22"/>
          <w:lang w:val="nl-BE"/>
        </w:rPr>
      </w:pPr>
      <w:r w:rsidRPr="00AE02C5">
        <w:rPr>
          <w:sz w:val="22"/>
          <w:lang w:val="nl-BE"/>
        </w:rPr>
        <w:t>Artikel 80 bepaalt:</w:t>
      </w:r>
    </w:p>
    <w:p w14:paraId="1A07D99B" w14:textId="77777777" w:rsidR="008A157B" w:rsidRPr="00AE02C5" w:rsidRDefault="008A157B" w:rsidP="008A157B">
      <w:pPr>
        <w:pStyle w:val="Standaard1"/>
        <w:ind w:left="708" w:hanging="708"/>
        <w:jc w:val="both"/>
        <w:rPr>
          <w:sz w:val="22"/>
          <w:lang w:val="nl-BE"/>
        </w:rPr>
      </w:pPr>
    </w:p>
    <w:p w14:paraId="3A33D66B" w14:textId="77777777" w:rsidR="008A157B" w:rsidRPr="00AE02C5" w:rsidRDefault="008A157B" w:rsidP="008A157B">
      <w:pPr>
        <w:pStyle w:val="Plattetekstinspringen1"/>
        <w:rPr>
          <w:sz w:val="22"/>
          <w:lang w:val="nl-BE"/>
        </w:rPr>
      </w:pPr>
      <w:r w:rsidRPr="00AE02C5">
        <w:rPr>
          <w:sz w:val="22"/>
          <w:lang w:val="nl-BE"/>
        </w:rPr>
        <w:t>“1.</w:t>
      </w:r>
      <w:r w:rsidRPr="00AE02C5">
        <w:rPr>
          <w:sz w:val="22"/>
          <w:lang w:val="nl-BE"/>
        </w:rPr>
        <w:tab/>
        <w:t>De Hoge Verdragsluitende Partijen en de Partijen bij het conflict dienen onverwijld alle noodzakelijke maatregelen te treffen voor de nakoming van hun verplichtingen krachtens de Conventies en dit Protocol.</w:t>
      </w:r>
    </w:p>
    <w:p w14:paraId="71B588CE" w14:textId="77777777" w:rsidR="008A157B" w:rsidRPr="00AE02C5" w:rsidRDefault="008A157B" w:rsidP="008A157B">
      <w:pPr>
        <w:pStyle w:val="Standaard1"/>
        <w:ind w:left="2804" w:hanging="680"/>
        <w:jc w:val="both"/>
        <w:rPr>
          <w:i/>
          <w:sz w:val="22"/>
          <w:lang w:val="nl-BE"/>
        </w:rPr>
      </w:pPr>
    </w:p>
    <w:p w14:paraId="5C4E410B" w14:textId="77777777" w:rsidR="008A157B" w:rsidRPr="00AE02C5" w:rsidRDefault="008A157B" w:rsidP="008A157B">
      <w:pPr>
        <w:pStyle w:val="Standaard1"/>
        <w:ind w:left="2124"/>
        <w:jc w:val="both"/>
        <w:rPr>
          <w:sz w:val="22"/>
          <w:lang w:val="nl-BE"/>
        </w:rPr>
      </w:pPr>
      <w:r w:rsidRPr="00AE02C5">
        <w:rPr>
          <w:i/>
          <w:sz w:val="22"/>
          <w:lang w:val="nl-BE"/>
        </w:rPr>
        <w:t xml:space="preserve">    2.</w:t>
      </w:r>
      <w:r w:rsidRPr="00AE02C5">
        <w:rPr>
          <w:i/>
          <w:sz w:val="22"/>
          <w:lang w:val="nl-BE"/>
        </w:rPr>
        <w:tab/>
        <w:t>De Hoge Verdragsluitende Partijen en de Partijen bij het conflict dienen opdrachten en instructies te geven om de naleving van de Conventies en dit Protocol te verzekeren en dienen toezicht te houden op de tenuitvoerlegging ervan.”</w:t>
      </w:r>
    </w:p>
    <w:p w14:paraId="412226BA" w14:textId="77777777" w:rsidR="008A157B" w:rsidRPr="00AE02C5" w:rsidRDefault="008A157B" w:rsidP="008A157B">
      <w:pPr>
        <w:pStyle w:val="Standaard1"/>
        <w:ind w:left="2804" w:hanging="680"/>
        <w:jc w:val="both"/>
        <w:rPr>
          <w:sz w:val="22"/>
          <w:lang w:val="nl-BE"/>
        </w:rPr>
      </w:pPr>
    </w:p>
    <w:p w14:paraId="56347E58" w14:textId="77777777" w:rsidR="008A157B" w:rsidRPr="00AE02C5" w:rsidRDefault="008A157B" w:rsidP="008A157B">
      <w:pPr>
        <w:pStyle w:val="Standaard1"/>
        <w:ind w:left="2124"/>
        <w:jc w:val="both"/>
        <w:rPr>
          <w:sz w:val="22"/>
          <w:lang w:val="nl-BE"/>
        </w:rPr>
      </w:pPr>
      <w:r w:rsidRPr="00AE02C5">
        <w:rPr>
          <w:sz w:val="22"/>
          <w:lang w:val="nl-BE"/>
        </w:rPr>
        <w:t xml:space="preserve">Zoals beklemtoond in het “Commentaire des Protocoles additionnels”, gepubliceerd door het Internationaal Comité van het Rode Kruis (ICRK) (Genève, 1986, p. 954, nr. 3288), moet het begrip “tenuitvoerlegging” bedoeld in artikel 80 op twee niveaus worden begrepen. Het eerste niveau omvat de maatregelen die het verdrag in de rechtsorde van elke Partij invoeren volgens de regels van haar grondwettelijk stelsel. Het tweede niveau betreft alle uitvoerings- en voorbereidingsmaatregelen die vereist zijn om deze verdragen concreet toe te </w:t>
      </w:r>
      <w:r w:rsidRPr="00AE02C5">
        <w:rPr>
          <w:sz w:val="22"/>
          <w:lang w:val="nl-BE"/>
        </w:rPr>
        <w:lastRenderedPageBreak/>
        <w:t>passen. Die maatregelen moeten nu al worden genomen, vooraleer een toestand van gewapend conflict ontstaat.</w:t>
      </w:r>
    </w:p>
    <w:bookmarkEnd w:id="6"/>
    <w:p w14:paraId="36DFC877" w14:textId="77777777" w:rsidR="008A157B" w:rsidRPr="00AE02C5" w:rsidRDefault="008A157B" w:rsidP="008A157B">
      <w:pPr>
        <w:pStyle w:val="Standaard1"/>
        <w:ind w:left="708" w:hanging="708"/>
        <w:jc w:val="both"/>
        <w:rPr>
          <w:sz w:val="22"/>
          <w:lang w:val="nl-BE"/>
        </w:rPr>
      </w:pPr>
    </w:p>
    <w:p w14:paraId="421A568C" w14:textId="7AD06284" w:rsidR="008A157B" w:rsidRPr="00AE02C5" w:rsidRDefault="008A157B" w:rsidP="008A157B">
      <w:pPr>
        <w:pStyle w:val="Standaard1"/>
        <w:ind w:left="1440" w:firstLine="12"/>
        <w:jc w:val="both"/>
        <w:rPr>
          <w:sz w:val="22"/>
          <w:lang w:val="nl-BE"/>
        </w:rPr>
      </w:pPr>
      <w:r w:rsidRPr="00AE02C5">
        <w:rPr>
          <w:sz w:val="22"/>
          <w:lang w:val="nl-BE"/>
        </w:rPr>
        <w:t>2.</w:t>
      </w:r>
      <w:r w:rsidRPr="00AE02C5">
        <w:rPr>
          <w:sz w:val="22"/>
          <w:lang w:val="nl-BE"/>
        </w:rPr>
        <w:tab/>
      </w:r>
      <w:bookmarkStart w:id="8" w:name="_Hlk536663008"/>
      <w:r w:rsidRPr="00AE02C5">
        <w:rPr>
          <w:sz w:val="22"/>
          <w:lang w:val="nl-BE"/>
        </w:rPr>
        <w:t xml:space="preserve">Artikel 84 van het </w:t>
      </w:r>
      <w:r w:rsidR="00746128" w:rsidRPr="00AE02C5">
        <w:rPr>
          <w:sz w:val="22"/>
          <w:lang w:val="nl-BE"/>
        </w:rPr>
        <w:t xml:space="preserve">eerste </w:t>
      </w:r>
      <w:r w:rsidRPr="00AE02C5">
        <w:rPr>
          <w:sz w:val="22"/>
          <w:lang w:val="nl-BE"/>
        </w:rPr>
        <w:t xml:space="preserve">Aanvullend Protocol </w:t>
      </w:r>
    </w:p>
    <w:p w14:paraId="0777001F" w14:textId="77777777" w:rsidR="008A157B" w:rsidRPr="00AE02C5" w:rsidRDefault="008A157B" w:rsidP="008A157B">
      <w:pPr>
        <w:pStyle w:val="Standaard1"/>
        <w:ind w:left="708" w:hanging="708"/>
        <w:jc w:val="both"/>
        <w:rPr>
          <w:sz w:val="22"/>
          <w:lang w:val="nl-BE"/>
        </w:rPr>
      </w:pPr>
    </w:p>
    <w:p w14:paraId="7B4C4EC5" w14:textId="77777777" w:rsidR="008A157B" w:rsidRPr="00AE02C5" w:rsidRDefault="008A157B" w:rsidP="008A157B">
      <w:pPr>
        <w:pStyle w:val="Standaard1"/>
        <w:ind w:left="2124"/>
        <w:jc w:val="both"/>
        <w:rPr>
          <w:sz w:val="22"/>
          <w:lang w:val="nl-BE"/>
        </w:rPr>
      </w:pPr>
      <w:bookmarkStart w:id="9" w:name="_Hlk536663705"/>
      <w:r w:rsidRPr="00AE02C5">
        <w:rPr>
          <w:sz w:val="22"/>
          <w:lang w:val="nl-BE"/>
        </w:rPr>
        <w:t>Voor artikel 84 van Protocol I werd geen afzonderlijk werkdocument opgemaakt met betrekking tot de uitvoeringsmaatregelen die deze bepaling vereist. Toch kan het aan een bondig onderzoek worden onderworpen in het kader van dit werkdocument over artikel 80.</w:t>
      </w:r>
    </w:p>
    <w:p w14:paraId="3976CD88" w14:textId="77777777" w:rsidR="008A157B" w:rsidRPr="00AE02C5" w:rsidRDefault="008A157B" w:rsidP="008A157B">
      <w:pPr>
        <w:pStyle w:val="Standaard1"/>
        <w:ind w:left="2124"/>
        <w:jc w:val="both"/>
        <w:rPr>
          <w:sz w:val="22"/>
          <w:lang w:val="nl-BE"/>
        </w:rPr>
      </w:pPr>
    </w:p>
    <w:p w14:paraId="1DB7BEE3" w14:textId="77777777" w:rsidR="008A157B" w:rsidRPr="00AE02C5" w:rsidRDefault="008A157B" w:rsidP="008A157B">
      <w:pPr>
        <w:pStyle w:val="Standaard1"/>
        <w:ind w:left="2124"/>
        <w:jc w:val="both"/>
        <w:rPr>
          <w:sz w:val="22"/>
          <w:lang w:val="nl-BE"/>
        </w:rPr>
      </w:pPr>
      <w:r w:rsidRPr="00AE02C5">
        <w:rPr>
          <w:sz w:val="22"/>
          <w:lang w:val="nl-BE"/>
        </w:rPr>
        <w:t>Artikel 84 neemt hoofdzakelijk de verplichting over die vervat is in de Verdragen van Genève (C I - artikel 48; C II - artikel 49; C III - artikel 128; C IV - artikel 145), namelijk:</w:t>
      </w:r>
    </w:p>
    <w:p w14:paraId="2D22D432" w14:textId="77777777" w:rsidR="008A157B" w:rsidRPr="00AE02C5" w:rsidRDefault="008A157B" w:rsidP="008A157B">
      <w:pPr>
        <w:pStyle w:val="Standaard1"/>
        <w:ind w:left="2124" w:hanging="708"/>
        <w:jc w:val="both"/>
        <w:rPr>
          <w:sz w:val="22"/>
          <w:lang w:val="nl-BE"/>
        </w:rPr>
      </w:pPr>
    </w:p>
    <w:p w14:paraId="2C3351D0" w14:textId="77777777" w:rsidR="008A157B" w:rsidRPr="00AE02C5" w:rsidRDefault="008A157B" w:rsidP="008A157B">
      <w:pPr>
        <w:pStyle w:val="Standaard1"/>
        <w:numPr>
          <w:ilvl w:val="0"/>
          <w:numId w:val="1"/>
        </w:numPr>
        <w:jc w:val="both"/>
        <w:rPr>
          <w:sz w:val="22"/>
          <w:lang w:val="nl-BE"/>
        </w:rPr>
      </w:pPr>
      <w:r w:rsidRPr="00AE02C5">
        <w:rPr>
          <w:sz w:val="22"/>
          <w:lang w:val="nl-BE"/>
        </w:rPr>
        <w:t>mededeling van de officiële vertalingen van de verdragen;</w:t>
      </w:r>
    </w:p>
    <w:p w14:paraId="47D675A0" w14:textId="77777777" w:rsidR="008A157B" w:rsidRPr="00AE02C5" w:rsidRDefault="008A157B" w:rsidP="008A157B">
      <w:pPr>
        <w:pStyle w:val="Standaard1"/>
        <w:numPr>
          <w:ilvl w:val="0"/>
          <w:numId w:val="1"/>
        </w:numPr>
        <w:jc w:val="both"/>
        <w:rPr>
          <w:sz w:val="22"/>
          <w:lang w:val="nl-BE"/>
        </w:rPr>
      </w:pPr>
      <w:r w:rsidRPr="00AE02C5">
        <w:rPr>
          <w:sz w:val="22"/>
          <w:lang w:val="nl-BE"/>
        </w:rPr>
        <w:t>mededeling van de wetten en reglementen die zijn goedgekeurd om de toepassing van de verdragen te waarborgen.</w:t>
      </w:r>
    </w:p>
    <w:bookmarkEnd w:id="8"/>
    <w:bookmarkEnd w:id="9"/>
    <w:p w14:paraId="096B4588" w14:textId="77777777" w:rsidR="008A157B" w:rsidRPr="00AE02C5" w:rsidRDefault="008A157B" w:rsidP="008A157B">
      <w:pPr>
        <w:pStyle w:val="Standaard1"/>
        <w:ind w:left="2832"/>
        <w:jc w:val="both"/>
        <w:rPr>
          <w:sz w:val="22"/>
          <w:lang w:val="nl-BE"/>
        </w:rPr>
      </w:pPr>
    </w:p>
    <w:p w14:paraId="7357340A" w14:textId="77777777" w:rsidR="008A157B" w:rsidRPr="00AE02C5" w:rsidRDefault="008A157B" w:rsidP="008A157B">
      <w:pPr>
        <w:pStyle w:val="Standaard1"/>
        <w:ind w:left="1440" w:firstLine="12"/>
        <w:jc w:val="both"/>
        <w:rPr>
          <w:sz w:val="22"/>
          <w:lang w:val="nl-BE"/>
        </w:rPr>
      </w:pPr>
      <w:r w:rsidRPr="00AE02C5">
        <w:rPr>
          <w:sz w:val="22"/>
          <w:lang w:val="nl-BE"/>
        </w:rPr>
        <w:t>3.</w:t>
      </w:r>
      <w:r w:rsidRPr="00AE02C5">
        <w:rPr>
          <w:sz w:val="22"/>
          <w:lang w:val="nl-BE"/>
        </w:rPr>
        <w:tab/>
      </w:r>
      <w:bookmarkStart w:id="10" w:name="_Hlk536622836"/>
      <w:r w:rsidRPr="00AE02C5">
        <w:rPr>
          <w:sz w:val="22"/>
          <w:lang w:val="nl-BE"/>
        </w:rPr>
        <w:t>Het belang van de uitvoering van het IHR</w:t>
      </w:r>
    </w:p>
    <w:bookmarkEnd w:id="10"/>
    <w:p w14:paraId="73746854" w14:textId="77777777" w:rsidR="008A157B" w:rsidRPr="00AE02C5" w:rsidRDefault="008A157B" w:rsidP="008A157B">
      <w:pPr>
        <w:pStyle w:val="Standaard1"/>
        <w:jc w:val="both"/>
        <w:rPr>
          <w:sz w:val="22"/>
          <w:lang w:val="nl-BE"/>
        </w:rPr>
      </w:pPr>
    </w:p>
    <w:p w14:paraId="53D352BB" w14:textId="77777777" w:rsidR="008A157B" w:rsidRPr="00AE02C5" w:rsidRDefault="008A157B" w:rsidP="008A157B">
      <w:pPr>
        <w:pStyle w:val="Standaard1"/>
        <w:numPr>
          <w:ilvl w:val="0"/>
          <w:numId w:val="31"/>
        </w:numPr>
        <w:jc w:val="both"/>
        <w:rPr>
          <w:sz w:val="22"/>
          <w:lang w:val="nl-BE"/>
        </w:rPr>
      </w:pPr>
      <w:bookmarkStart w:id="11" w:name="_Hlk536663803"/>
      <w:r w:rsidRPr="00AE02C5">
        <w:rPr>
          <w:sz w:val="22"/>
          <w:lang w:val="nl-BE"/>
        </w:rPr>
        <w:t>Indicatieve lijst van de nationale uitvoeringsmaatregelen in vredestijd van de Verdragen van Genève en de Aanvullende Protocollen</w:t>
      </w:r>
    </w:p>
    <w:p w14:paraId="6D199F48" w14:textId="77777777" w:rsidR="008A157B" w:rsidRPr="00AE02C5" w:rsidRDefault="008A157B" w:rsidP="008A157B">
      <w:pPr>
        <w:pStyle w:val="Standaard1"/>
        <w:ind w:left="2124"/>
        <w:jc w:val="both"/>
        <w:rPr>
          <w:sz w:val="22"/>
          <w:lang w:val="nl-BE"/>
        </w:rPr>
      </w:pPr>
    </w:p>
    <w:p w14:paraId="0B0074B6" w14:textId="77777777" w:rsidR="008A157B" w:rsidRPr="00AE02C5" w:rsidRDefault="008A157B" w:rsidP="008A157B">
      <w:pPr>
        <w:pStyle w:val="Standaard1"/>
        <w:ind w:left="2124"/>
        <w:jc w:val="both"/>
        <w:rPr>
          <w:sz w:val="22"/>
          <w:lang w:val="fr-BE"/>
        </w:rPr>
      </w:pPr>
      <w:bookmarkStart w:id="12" w:name="_Hlk536708293"/>
      <w:r w:rsidRPr="00AE02C5">
        <w:rPr>
          <w:sz w:val="22"/>
          <w:lang w:val="nl-BE"/>
        </w:rPr>
        <w:t xml:space="preserve">Het ICRK heeft een indicatieve lijst opgesteld van de artikelen van de Verdragen van Genève en de Aanvullende Protocollen die nationale uitvoeringsmaatregelen in vredestijd kunnen vereisen. Deze lijst, die van een inleiding is voorzien, werd gepubliceerd in de </w:t>
      </w:r>
      <w:r w:rsidRPr="00AE02C5">
        <w:rPr>
          <w:i/>
          <w:sz w:val="22"/>
          <w:lang w:val="nl-BE"/>
        </w:rPr>
        <w:t>Revue</w:t>
      </w:r>
      <w:r w:rsidRPr="00AE02C5">
        <w:rPr>
          <w:sz w:val="22"/>
          <w:lang w:val="nl-BE"/>
        </w:rPr>
        <w:t xml:space="preserve"> </w:t>
      </w:r>
      <w:r w:rsidRPr="00AE02C5">
        <w:rPr>
          <w:i/>
          <w:sz w:val="22"/>
          <w:lang w:val="nl-BE"/>
        </w:rPr>
        <w:t>internationale de la Croix-Rouge (RICR),</w:t>
      </w:r>
      <w:r w:rsidRPr="00AE02C5">
        <w:rPr>
          <w:sz w:val="22"/>
          <w:lang w:val="nl-BE"/>
        </w:rPr>
        <w:t xml:space="preserve"> (nr. 770, maart - april 1988, pp. 136-145), onder de titel “Respect du droit international humanitaire. </w:t>
      </w:r>
      <w:r w:rsidRPr="00AE02C5">
        <w:rPr>
          <w:sz w:val="22"/>
          <w:lang w:val="fr-BE"/>
        </w:rPr>
        <w:t xml:space="preserve">Mesures nationales de mise en oeuvre, en temps de paix, des Conventions de Genève et de leurs Protocoles additionnels”. </w:t>
      </w:r>
    </w:p>
    <w:bookmarkEnd w:id="11"/>
    <w:p w14:paraId="2B8A1ECB" w14:textId="77777777" w:rsidR="008A157B" w:rsidRPr="00AE02C5" w:rsidRDefault="008A157B" w:rsidP="008A157B">
      <w:pPr>
        <w:pStyle w:val="Standaard1"/>
        <w:ind w:left="2124"/>
        <w:jc w:val="both"/>
        <w:rPr>
          <w:sz w:val="22"/>
          <w:lang w:val="fr-BE"/>
        </w:rPr>
      </w:pPr>
    </w:p>
    <w:p w14:paraId="6CCC1FD2" w14:textId="14CFCB1E" w:rsidR="008A157B" w:rsidRPr="00AE02C5" w:rsidRDefault="008A157B" w:rsidP="008A157B">
      <w:pPr>
        <w:pStyle w:val="Standaard1"/>
        <w:ind w:left="2124"/>
        <w:jc w:val="both"/>
        <w:rPr>
          <w:sz w:val="22"/>
          <w:lang w:val="nl-BE"/>
        </w:rPr>
      </w:pPr>
      <w:r w:rsidRPr="00AE02C5">
        <w:rPr>
          <w:sz w:val="22"/>
          <w:lang w:val="nl-BE"/>
        </w:rPr>
        <w:t xml:space="preserve">Het voornoemde “Commentaire des Protocoles additionnels” (pp. 955-958, nr. 3297) bevat eveneens, in verband met artikel 80, een lijst van bepalingen die, vanaf de inwerkingtreding van Protocol I, bepaalde maatregelen kunnen vereisen met het oog op de uitvoering van die bepalingen. Ook wordt verwezen naar de technische fiche (januari 2003) opgesteld door de </w:t>
      </w:r>
      <w:bookmarkStart w:id="13" w:name="_Hlk536778204"/>
      <w:r w:rsidRPr="00AE02C5">
        <w:rPr>
          <w:sz w:val="22"/>
          <w:lang w:val="nl-BE"/>
        </w:rPr>
        <w:t xml:space="preserve">Consultatieve Diensten </w:t>
      </w:r>
      <w:r w:rsidR="005827F6" w:rsidRPr="00AE02C5">
        <w:rPr>
          <w:sz w:val="22"/>
          <w:lang w:val="nl-BE"/>
        </w:rPr>
        <w:t>in</w:t>
      </w:r>
      <w:r w:rsidRPr="00AE02C5">
        <w:rPr>
          <w:sz w:val="22"/>
          <w:lang w:val="nl-BE"/>
        </w:rPr>
        <w:t xml:space="preserve"> internationaal humanitair recht</w:t>
      </w:r>
      <w:bookmarkEnd w:id="13"/>
      <w:r w:rsidRPr="00AE02C5">
        <w:rPr>
          <w:sz w:val="22"/>
          <w:lang w:val="nl-BE"/>
        </w:rPr>
        <w:t xml:space="preserve"> van het ICRK, betreffende de uitvoering van dit recht, </w:t>
      </w:r>
      <w:r w:rsidR="00F278A3" w:rsidRPr="00AE02C5">
        <w:rPr>
          <w:sz w:val="22"/>
          <w:lang w:val="nl-BE"/>
        </w:rPr>
        <w:t xml:space="preserve">dat </w:t>
      </w:r>
      <w:r w:rsidRPr="00AE02C5">
        <w:rPr>
          <w:sz w:val="22"/>
          <w:lang w:val="nl-BE"/>
        </w:rPr>
        <w:t xml:space="preserve">een lijst bevat van de voornaamste bepalingen die uitvoeringsmaatregelen vereisen. </w:t>
      </w:r>
    </w:p>
    <w:bookmarkEnd w:id="12"/>
    <w:p w14:paraId="6DED9F77" w14:textId="77777777" w:rsidR="008A157B" w:rsidRPr="00AE02C5" w:rsidRDefault="008A157B" w:rsidP="008A157B">
      <w:pPr>
        <w:pStyle w:val="Standaard1"/>
        <w:ind w:left="2124"/>
        <w:jc w:val="both"/>
        <w:rPr>
          <w:sz w:val="22"/>
          <w:lang w:val="nl-BE"/>
        </w:rPr>
      </w:pPr>
    </w:p>
    <w:p w14:paraId="500B92E3" w14:textId="77777777" w:rsidR="008A157B" w:rsidRPr="00AE02C5" w:rsidRDefault="008A157B" w:rsidP="008A157B">
      <w:pPr>
        <w:pStyle w:val="Standaard1"/>
        <w:ind w:left="2124"/>
        <w:jc w:val="both"/>
        <w:rPr>
          <w:sz w:val="22"/>
          <w:lang w:val="nl-BE"/>
        </w:rPr>
      </w:pPr>
      <w:bookmarkStart w:id="14" w:name="_Hlk536622789"/>
      <w:r w:rsidRPr="00AE02C5">
        <w:rPr>
          <w:sz w:val="22"/>
          <w:lang w:val="nl-BE"/>
        </w:rPr>
        <w:t>Het ICRK heeft ook de handleiding “La mise en œuvre nationale du droit international humanitaire – Un Manuel” gepubliceerd (bijgewerkt in 2016). Deze praktische handleiding bevat richtlijnen om de Staten te helpen het IHR uit te voeren en hun verplichtingen ter zake na te komen. De volgende thema’s komen aan bod: inleiding tot de basisregels van het IHR en tot de algemene uitvoeringsmaatregelen; voorstelling van de specifieke uitvoeringsmaatregelen van de voornaamste verdragen inzake IHR; rol van de nationale commissies voor IHR en van de nationale verenigingen van het Rode Kruis en de Rode Halve Maan bij het ondersteunen van de uitvoering van het IHR.</w:t>
      </w:r>
    </w:p>
    <w:bookmarkEnd w:id="14"/>
    <w:p w14:paraId="670EF5A4" w14:textId="77777777" w:rsidR="008A157B" w:rsidRPr="00AE02C5" w:rsidRDefault="008A157B" w:rsidP="008A157B">
      <w:pPr>
        <w:pStyle w:val="Standaard1"/>
        <w:ind w:left="2124" w:firstLine="3"/>
        <w:jc w:val="both"/>
        <w:rPr>
          <w:sz w:val="22"/>
          <w:lang w:val="nl-BE"/>
        </w:rPr>
      </w:pPr>
    </w:p>
    <w:p w14:paraId="43F272FD" w14:textId="77777777" w:rsidR="008A157B" w:rsidRPr="00AE02C5" w:rsidRDefault="008A157B" w:rsidP="008A157B">
      <w:pPr>
        <w:pStyle w:val="Standaard1"/>
        <w:numPr>
          <w:ilvl w:val="0"/>
          <w:numId w:val="31"/>
        </w:numPr>
        <w:jc w:val="both"/>
        <w:rPr>
          <w:sz w:val="22"/>
          <w:lang w:val="nl-BE"/>
        </w:rPr>
      </w:pPr>
      <w:bookmarkStart w:id="15" w:name="_Hlk536677449"/>
      <w:r w:rsidRPr="00AE02C5">
        <w:rPr>
          <w:sz w:val="22"/>
          <w:lang w:val="nl-BE"/>
        </w:rPr>
        <w:t xml:space="preserve">Internationale Conferenties van het Rode Kruis en de Rode Halve Maan </w:t>
      </w:r>
    </w:p>
    <w:p w14:paraId="473228A7" w14:textId="77777777" w:rsidR="008A157B" w:rsidRPr="00AE02C5" w:rsidRDefault="008A157B" w:rsidP="008A157B">
      <w:pPr>
        <w:pStyle w:val="Standaard1"/>
        <w:ind w:left="2124"/>
        <w:jc w:val="both"/>
        <w:rPr>
          <w:sz w:val="22"/>
          <w:lang w:val="nl-BE"/>
        </w:rPr>
      </w:pPr>
      <w:r w:rsidRPr="00AE02C5">
        <w:rPr>
          <w:sz w:val="22"/>
          <w:lang w:val="nl-BE"/>
        </w:rPr>
        <w:lastRenderedPageBreak/>
        <w:t>Het ICRK heeft de Staten meermaals gewezen op het belang van de uitvoering van het internationaal humanitair recht, met name tijdens Internationale Conferenties van het Rode Kruis en de Rode Halve Maan.</w:t>
      </w:r>
    </w:p>
    <w:bookmarkEnd w:id="15"/>
    <w:p w14:paraId="6A4E7937" w14:textId="77777777" w:rsidR="008A157B" w:rsidRPr="00AE02C5" w:rsidRDefault="008A157B" w:rsidP="008A157B">
      <w:pPr>
        <w:pStyle w:val="Standaard1"/>
        <w:ind w:left="2124"/>
        <w:jc w:val="both"/>
        <w:rPr>
          <w:sz w:val="22"/>
          <w:lang w:val="nl-BE"/>
        </w:rPr>
      </w:pPr>
    </w:p>
    <w:p w14:paraId="5F8D180F" w14:textId="3AFC4B3E" w:rsidR="008A157B" w:rsidRPr="00AE02C5" w:rsidRDefault="008A157B" w:rsidP="008A157B">
      <w:pPr>
        <w:pStyle w:val="Standaard1"/>
        <w:ind w:left="2124"/>
        <w:jc w:val="both"/>
        <w:rPr>
          <w:sz w:val="22"/>
          <w:lang w:val="nl-BE"/>
        </w:rPr>
      </w:pPr>
      <w:bookmarkStart w:id="16" w:name="_Hlk536624231"/>
      <w:r w:rsidRPr="00AE02C5">
        <w:rPr>
          <w:sz w:val="22"/>
          <w:lang w:val="nl-BE"/>
        </w:rPr>
        <w:t>De nationale uitvoering van het IHR als noodzakelijke voorwaarde voor de naleving van dit recht en de onmisbare rol van de nationale commissies voor IHR om de nationale autoriteiten</w:t>
      </w:r>
      <w:r w:rsidR="003E09F6" w:rsidRPr="00AE02C5">
        <w:rPr>
          <w:sz w:val="22"/>
          <w:lang w:val="nl-BE"/>
        </w:rPr>
        <w:t xml:space="preserve"> te ondersteunen</w:t>
      </w:r>
      <w:r w:rsidRPr="00AE02C5">
        <w:rPr>
          <w:sz w:val="22"/>
          <w:lang w:val="nl-BE"/>
        </w:rPr>
        <w:t xml:space="preserve"> bij het vervullen van </w:t>
      </w:r>
      <w:r w:rsidR="000772BB" w:rsidRPr="00AE02C5">
        <w:rPr>
          <w:sz w:val="22"/>
          <w:lang w:val="nl-BE"/>
        </w:rPr>
        <w:t xml:space="preserve">deze </w:t>
      </w:r>
      <w:r w:rsidRPr="00AE02C5">
        <w:rPr>
          <w:sz w:val="22"/>
          <w:lang w:val="nl-BE"/>
        </w:rPr>
        <w:t>taak, werden sinds 1986</w:t>
      </w:r>
      <w:r w:rsidRPr="00AE02C5">
        <w:rPr>
          <w:rStyle w:val="FootnoteReference"/>
          <w:sz w:val="22"/>
          <w:lang w:val="nl-BE"/>
        </w:rPr>
        <w:footnoteReference w:id="1"/>
      </w:r>
      <w:r w:rsidRPr="00AE02C5">
        <w:rPr>
          <w:sz w:val="22"/>
          <w:lang w:val="nl-BE"/>
        </w:rPr>
        <w:t xml:space="preserve"> meermaals opnieuw bevestigd, het meest recent tijdens de XXX</w:t>
      </w:r>
      <w:r w:rsidRPr="00AE02C5">
        <w:rPr>
          <w:sz w:val="22"/>
          <w:vertAlign w:val="superscript"/>
          <w:lang w:val="nl-BE"/>
        </w:rPr>
        <w:t>ste</w:t>
      </w:r>
      <w:r w:rsidRPr="00AE02C5">
        <w:rPr>
          <w:sz w:val="22"/>
          <w:lang w:val="nl-BE"/>
        </w:rPr>
        <w:t xml:space="preserve"> Internationale Conferentie van het Rode Kruis en de Rode Halve Maan (Genève, 26-30 november 2007). Resolutie 3 van de Conferentie herhaalde immers dat de Staten verplicht zijn om alle wetgevende, reglementaire en praktische maatregelen te treffen die nodig zijn om het internationaal humanitair recht op te nemen in de nationale wetgeving en praktijken en benadrukte de noodzaak om dergelijke maatregelen goed te keuren voor, onder meer, het gebruik en de bescherming van onderscheidende emblemen, de bestraffing van ernstige schendingen van het internationaal humanitair recht, de bescherming van culturele goederen, het reglementeren van oorlogsmiddelen en -methodes en de bescherming van de rechten van vermiste personen en hun families. In dat verband werd met tevredenheid de doeltreffende rol erkend van de nationale commissies en andere instanties die de nationale autoriteiten </w:t>
      </w:r>
      <w:r w:rsidR="003E09F6" w:rsidRPr="00AE02C5">
        <w:rPr>
          <w:sz w:val="22"/>
          <w:lang w:val="nl-BE"/>
        </w:rPr>
        <w:t xml:space="preserve">adviseren </w:t>
      </w:r>
      <w:r w:rsidRPr="00AE02C5">
        <w:rPr>
          <w:sz w:val="22"/>
          <w:lang w:val="nl-BE"/>
        </w:rPr>
        <w:t>en steun</w:t>
      </w:r>
      <w:r w:rsidR="003E09F6" w:rsidRPr="00AE02C5">
        <w:rPr>
          <w:sz w:val="22"/>
          <w:lang w:val="nl-BE"/>
        </w:rPr>
        <w:t>en</w:t>
      </w:r>
      <w:r w:rsidRPr="00AE02C5">
        <w:rPr>
          <w:sz w:val="22"/>
          <w:lang w:val="nl-BE"/>
        </w:rPr>
        <w:t xml:space="preserve"> </w:t>
      </w:r>
      <w:r w:rsidR="003E09F6" w:rsidRPr="00AE02C5">
        <w:rPr>
          <w:sz w:val="22"/>
          <w:lang w:val="nl-BE"/>
        </w:rPr>
        <w:t xml:space="preserve">bij </w:t>
      </w:r>
      <w:r w:rsidRPr="00AE02C5">
        <w:rPr>
          <w:sz w:val="22"/>
          <w:lang w:val="nl-BE"/>
        </w:rPr>
        <w:t xml:space="preserve">de uitvoering, ontwikkeling en verspreiding van het internationaal humanitair recht, alsook het almaar stijgende aantal van deze commissies en instanties (Resolutie 3 over “De herbevestiging en de uitvoering van het internationaal humanitair recht”, §§ 21-23). </w:t>
      </w:r>
    </w:p>
    <w:bookmarkEnd w:id="16"/>
    <w:p w14:paraId="42E0D290" w14:textId="77777777" w:rsidR="008A157B" w:rsidRPr="00AE02C5" w:rsidRDefault="008A157B" w:rsidP="008A157B">
      <w:pPr>
        <w:pStyle w:val="Standaard1"/>
        <w:ind w:left="2124" w:firstLine="36"/>
        <w:jc w:val="both"/>
        <w:rPr>
          <w:sz w:val="22"/>
          <w:lang w:val="nl-BE"/>
        </w:rPr>
      </w:pPr>
    </w:p>
    <w:p w14:paraId="45FAB35B" w14:textId="77777777" w:rsidR="008A157B" w:rsidRPr="00AE02C5" w:rsidRDefault="008A157B" w:rsidP="008A157B">
      <w:pPr>
        <w:pStyle w:val="Standaard1"/>
        <w:ind w:left="2124"/>
        <w:jc w:val="both"/>
        <w:rPr>
          <w:sz w:val="22"/>
          <w:lang w:val="nl-BE"/>
        </w:rPr>
      </w:pPr>
      <w:bookmarkStart w:id="17" w:name="_Hlk536631404"/>
      <w:r w:rsidRPr="00AE02C5">
        <w:rPr>
          <w:sz w:val="22"/>
          <w:lang w:val="nl-BE"/>
        </w:rPr>
        <w:t>Tijdens de XXXII</w:t>
      </w:r>
      <w:r w:rsidRPr="00AE02C5">
        <w:rPr>
          <w:sz w:val="22"/>
          <w:vertAlign w:val="superscript"/>
          <w:lang w:val="nl-BE"/>
        </w:rPr>
        <w:t>ste</w:t>
      </w:r>
      <w:r w:rsidRPr="00AE02C5">
        <w:rPr>
          <w:sz w:val="22"/>
          <w:lang w:val="nl-BE"/>
        </w:rPr>
        <w:t xml:space="preserve"> Internationale Conferentie werd nogmaals gewezen op deze resolutie. Daaruit blijkt dat de uitvoering een constante bekommernis blijft van de Staten die Partij zijn bij de Verdragen van Genève en van de Internationale Beweging van het Rode Kruis en de Rode Halve Maan (Resolutie 1 over “Een betere juridische bescherming van slachtoffers van gewapende conflicten”, preambule, 5</w:t>
      </w:r>
      <w:r w:rsidRPr="00AE02C5">
        <w:rPr>
          <w:sz w:val="22"/>
          <w:vertAlign w:val="superscript"/>
          <w:lang w:val="nl-BE"/>
        </w:rPr>
        <w:t>e</w:t>
      </w:r>
      <w:r w:rsidRPr="00AE02C5">
        <w:rPr>
          <w:sz w:val="22"/>
          <w:lang w:val="nl-BE"/>
        </w:rPr>
        <w:t xml:space="preserve"> considerans). </w:t>
      </w:r>
    </w:p>
    <w:bookmarkEnd w:id="17"/>
    <w:p w14:paraId="3DBF8A1E" w14:textId="77777777" w:rsidR="008A157B" w:rsidRPr="00AE02C5" w:rsidRDefault="008A157B" w:rsidP="008A157B">
      <w:pPr>
        <w:pStyle w:val="Standaard1"/>
        <w:ind w:left="708" w:hanging="708"/>
        <w:jc w:val="both"/>
        <w:rPr>
          <w:sz w:val="22"/>
          <w:lang w:val="nl-BE"/>
        </w:rPr>
      </w:pPr>
    </w:p>
    <w:p w14:paraId="7822757D" w14:textId="77777777" w:rsidR="008A157B" w:rsidRPr="00AE02C5" w:rsidRDefault="008A157B" w:rsidP="008A157B">
      <w:pPr>
        <w:pStyle w:val="Standaard1"/>
        <w:numPr>
          <w:ilvl w:val="0"/>
          <w:numId w:val="31"/>
        </w:numPr>
        <w:jc w:val="both"/>
        <w:rPr>
          <w:sz w:val="22"/>
          <w:lang w:val="nl-BE"/>
        </w:rPr>
      </w:pPr>
      <w:bookmarkStart w:id="18" w:name="_Hlk536455774"/>
      <w:bookmarkStart w:id="19" w:name="_Hlk536699700"/>
      <w:r w:rsidRPr="00AE02C5">
        <w:rPr>
          <w:sz w:val="22"/>
          <w:lang w:val="nl-BE"/>
        </w:rPr>
        <w:t>Nationale instanties voor de uitvoering van het IHR</w:t>
      </w:r>
    </w:p>
    <w:bookmarkEnd w:id="18"/>
    <w:p w14:paraId="5D023F62" w14:textId="77777777" w:rsidR="008A157B" w:rsidRPr="00AE02C5" w:rsidRDefault="008A157B" w:rsidP="008A157B">
      <w:pPr>
        <w:pStyle w:val="Standaard1"/>
        <w:ind w:left="2484"/>
        <w:jc w:val="both"/>
        <w:rPr>
          <w:sz w:val="22"/>
          <w:lang w:val="nl-BE"/>
        </w:rPr>
      </w:pPr>
    </w:p>
    <w:p w14:paraId="3A467FEC" w14:textId="77777777" w:rsidR="008A157B" w:rsidRPr="00AE02C5" w:rsidRDefault="008A157B" w:rsidP="008A157B">
      <w:pPr>
        <w:pStyle w:val="Standaard1"/>
        <w:ind w:left="2124"/>
        <w:jc w:val="both"/>
        <w:rPr>
          <w:sz w:val="22"/>
          <w:lang w:val="nl-BE"/>
        </w:rPr>
      </w:pPr>
      <w:r w:rsidRPr="00AE02C5">
        <w:rPr>
          <w:sz w:val="22"/>
          <w:lang w:val="nl-BE"/>
        </w:rPr>
        <w:t>Een overzicht van de verschillende nationale instanties voor de uitvoering van het internationaal humanitair recht, waarvan de meest recente versie van 31 juli 2018 dateert, is beschikbaar op de website van het ICRK ( </w:t>
      </w:r>
      <w:hyperlink r:id="rId12" w:history="1">
        <w:r w:rsidRPr="00AE02C5">
          <w:rPr>
            <w:rStyle w:val="Hyperlink"/>
            <w:sz w:val="22"/>
            <w:lang w:val="nl-BE"/>
          </w:rPr>
          <w:t>https://www.icrc.org/fr/document/tableau-des-commissions-et-autres-instances-nationales-de-droit-international-humanitaire</w:t>
        </w:r>
      </w:hyperlink>
      <w:r w:rsidRPr="00AE02C5">
        <w:rPr>
          <w:sz w:val="22"/>
          <w:lang w:val="nl-BE"/>
        </w:rPr>
        <w:t>).</w:t>
      </w:r>
    </w:p>
    <w:p w14:paraId="3DA65B19" w14:textId="77777777" w:rsidR="008A157B" w:rsidRPr="00AE02C5" w:rsidRDefault="008A157B" w:rsidP="008A157B">
      <w:pPr>
        <w:pStyle w:val="Standaard1"/>
        <w:ind w:left="2124"/>
        <w:jc w:val="both"/>
        <w:rPr>
          <w:sz w:val="22"/>
          <w:lang w:val="nl-BE"/>
        </w:rPr>
      </w:pPr>
    </w:p>
    <w:p w14:paraId="3201AA2C" w14:textId="77777777" w:rsidR="008A157B" w:rsidRPr="00AE02C5" w:rsidRDefault="008A157B" w:rsidP="008A157B">
      <w:pPr>
        <w:pStyle w:val="Standaard1"/>
        <w:ind w:left="2124"/>
        <w:jc w:val="both"/>
        <w:rPr>
          <w:sz w:val="22"/>
          <w:lang w:val="nl-BE"/>
        </w:rPr>
      </w:pPr>
      <w:r w:rsidRPr="00AE02C5">
        <w:rPr>
          <w:sz w:val="22"/>
          <w:lang w:val="nl-BE"/>
        </w:rPr>
        <w:t xml:space="preserve">Ook wordt verwezen naar de technische fiche (januari 2003) opgesteld door de Consultatieve Diensten van het ICRK, betreffende de Nationale Commissies voor </w:t>
      </w:r>
      <w:r w:rsidRPr="00AE02C5">
        <w:rPr>
          <w:sz w:val="22"/>
          <w:lang w:val="nl-BE"/>
        </w:rPr>
        <w:lastRenderedPageBreak/>
        <w:t>de uitvoering van het internationaal humanitair recht (</w:t>
      </w:r>
      <w:hyperlink r:id="rId13" w:history="1">
        <w:r w:rsidRPr="00AE02C5">
          <w:rPr>
            <w:rStyle w:val="Hyperlink"/>
            <w:sz w:val="22"/>
            <w:lang w:val="nl-BE"/>
          </w:rPr>
          <w:t>https://www.icrc.org/fr/download/file/1874/commissions_nationales.pdf</w:t>
        </w:r>
      </w:hyperlink>
      <w:r w:rsidRPr="00AE02C5">
        <w:rPr>
          <w:sz w:val="22"/>
          <w:lang w:val="nl-BE"/>
        </w:rPr>
        <w:t>).</w:t>
      </w:r>
    </w:p>
    <w:bookmarkEnd w:id="19"/>
    <w:p w14:paraId="04EA1688" w14:textId="77777777" w:rsidR="008A157B" w:rsidRPr="00AE02C5" w:rsidRDefault="008A157B" w:rsidP="008A157B">
      <w:pPr>
        <w:pStyle w:val="Standaard1"/>
        <w:ind w:left="708" w:hanging="708"/>
        <w:jc w:val="both"/>
        <w:rPr>
          <w:sz w:val="22"/>
          <w:lang w:val="nl-BE"/>
        </w:rPr>
      </w:pPr>
    </w:p>
    <w:p w14:paraId="236F09E5" w14:textId="77777777" w:rsidR="008A157B" w:rsidRPr="00AE02C5" w:rsidRDefault="008A157B" w:rsidP="008A157B">
      <w:pPr>
        <w:pStyle w:val="Standaard1"/>
        <w:ind w:left="708" w:hanging="708"/>
        <w:jc w:val="both"/>
        <w:rPr>
          <w:sz w:val="22"/>
          <w:lang w:val="nl-BE"/>
        </w:rPr>
      </w:pPr>
    </w:p>
    <w:p w14:paraId="75DB494A" w14:textId="77777777" w:rsidR="008A157B" w:rsidRPr="00AE02C5" w:rsidRDefault="008A157B" w:rsidP="008A157B">
      <w:pPr>
        <w:pStyle w:val="Standaard1"/>
        <w:ind w:left="708" w:hanging="708"/>
        <w:jc w:val="both"/>
        <w:rPr>
          <w:sz w:val="22"/>
          <w:lang w:val="nl-BE"/>
        </w:rPr>
      </w:pPr>
    </w:p>
    <w:p w14:paraId="78979770" w14:textId="77777777" w:rsidR="008A157B" w:rsidRPr="00AE02C5" w:rsidRDefault="008A157B" w:rsidP="008A157B">
      <w:pPr>
        <w:pStyle w:val="Standaard1"/>
        <w:ind w:left="708" w:hanging="708"/>
        <w:jc w:val="both"/>
        <w:rPr>
          <w:sz w:val="22"/>
          <w:lang w:val="nl-BE"/>
        </w:rPr>
      </w:pPr>
    </w:p>
    <w:p w14:paraId="6A9991C1" w14:textId="77777777" w:rsidR="008A157B" w:rsidRPr="00AE02C5" w:rsidRDefault="008A157B" w:rsidP="008A157B">
      <w:pPr>
        <w:pStyle w:val="Standaard1"/>
        <w:ind w:left="708" w:hanging="708"/>
        <w:jc w:val="both"/>
        <w:rPr>
          <w:sz w:val="22"/>
          <w:lang w:val="nl-BE"/>
        </w:rPr>
      </w:pPr>
    </w:p>
    <w:p w14:paraId="207992E0" w14:textId="77777777" w:rsidR="008A157B" w:rsidRPr="00AE02C5" w:rsidRDefault="008A157B" w:rsidP="008A157B">
      <w:pPr>
        <w:pStyle w:val="Standaard1"/>
        <w:ind w:left="708" w:hanging="708"/>
        <w:jc w:val="both"/>
        <w:rPr>
          <w:sz w:val="22"/>
          <w:lang w:val="nl-BE"/>
        </w:rPr>
      </w:pPr>
    </w:p>
    <w:p w14:paraId="73045538" w14:textId="77777777" w:rsidR="008A157B" w:rsidRPr="00AE02C5" w:rsidRDefault="008A157B" w:rsidP="008A157B">
      <w:pPr>
        <w:pStyle w:val="Standaard1"/>
        <w:shd w:val="pct10" w:color="auto" w:fill="auto"/>
        <w:ind w:left="708" w:hanging="708"/>
        <w:jc w:val="both"/>
        <w:rPr>
          <w:b/>
          <w:sz w:val="22"/>
          <w:lang w:val="nl-BE"/>
        </w:rPr>
      </w:pPr>
      <w:r w:rsidRPr="00AE02C5">
        <w:rPr>
          <w:b/>
          <w:sz w:val="22"/>
          <w:lang w:val="nl-BE"/>
        </w:rPr>
        <w:t>II.</w:t>
      </w:r>
      <w:r w:rsidRPr="00AE02C5">
        <w:rPr>
          <w:b/>
          <w:sz w:val="22"/>
          <w:lang w:val="nl-BE"/>
        </w:rPr>
        <w:tab/>
        <w:t>BETROKKEN DEPARTEMENTEN</w:t>
      </w:r>
    </w:p>
    <w:p w14:paraId="084627E1" w14:textId="77777777" w:rsidR="008A157B" w:rsidRPr="00AE02C5" w:rsidRDefault="008A157B" w:rsidP="008A157B">
      <w:pPr>
        <w:pStyle w:val="Standaard1"/>
        <w:ind w:left="708" w:hanging="708"/>
        <w:jc w:val="both"/>
        <w:rPr>
          <w:sz w:val="22"/>
          <w:lang w:val="nl-BE"/>
        </w:rPr>
      </w:pPr>
    </w:p>
    <w:p w14:paraId="067490D3" w14:textId="067E6311" w:rsidR="008A157B" w:rsidRPr="00AE02C5" w:rsidRDefault="008A157B" w:rsidP="008A157B">
      <w:pPr>
        <w:pStyle w:val="Standaard1"/>
        <w:ind w:left="708" w:firstLine="12"/>
        <w:jc w:val="both"/>
        <w:rPr>
          <w:sz w:val="22"/>
          <w:lang w:val="nl-BE"/>
        </w:rPr>
      </w:pPr>
      <w:bookmarkStart w:id="20" w:name="_Hlk536700171"/>
      <w:r w:rsidRPr="00AE02C5">
        <w:rPr>
          <w:sz w:val="22"/>
          <w:lang w:val="nl-BE"/>
        </w:rPr>
        <w:t>Alle Departementen die in de ICHR vertegenwoordigd</w:t>
      </w:r>
      <w:r w:rsidR="006E36D1" w:rsidRPr="00AE02C5">
        <w:rPr>
          <w:sz w:val="22"/>
          <w:lang w:val="nl-BE"/>
        </w:rPr>
        <w:t xml:space="preserve"> zijn</w:t>
      </w:r>
      <w:r w:rsidRPr="00AE02C5">
        <w:rPr>
          <w:sz w:val="22"/>
          <w:lang w:val="nl-BE"/>
        </w:rPr>
        <w:t>, namelijk: Federale Overheidsdienst (FOD) Kanselarij van de Eerste Minister, FOD Buitenlandse Zaken, Buitenlandse Handel en Ontwikkelingssamenwerking, FOD Justitie, FOD Binnenlandse Zaken, Ministerie van Landsverdediging, FOD Volksgezondheid, Veiligheid van de Voedselketen en Leefmilieu.</w:t>
      </w:r>
    </w:p>
    <w:p w14:paraId="40E496F7" w14:textId="77777777" w:rsidR="008A157B" w:rsidRPr="00AE02C5" w:rsidRDefault="008A157B" w:rsidP="008A157B">
      <w:pPr>
        <w:pStyle w:val="Standaard1"/>
        <w:ind w:left="708"/>
        <w:jc w:val="both"/>
        <w:rPr>
          <w:sz w:val="22"/>
          <w:lang w:val="nl-BE"/>
        </w:rPr>
      </w:pPr>
    </w:p>
    <w:p w14:paraId="1C8050EF" w14:textId="39AB44BD" w:rsidR="008A157B" w:rsidRPr="00AE02C5" w:rsidRDefault="008A157B" w:rsidP="008A157B">
      <w:pPr>
        <w:pStyle w:val="Standaard1"/>
        <w:ind w:left="708"/>
        <w:jc w:val="both"/>
        <w:rPr>
          <w:sz w:val="22"/>
          <w:lang w:val="nl-BE"/>
        </w:rPr>
      </w:pPr>
      <w:r w:rsidRPr="00AE02C5">
        <w:rPr>
          <w:sz w:val="22"/>
          <w:lang w:val="nl-BE"/>
        </w:rPr>
        <w:t>Pilootdepartement: FOD Kanselarij van de Eerste Minister</w:t>
      </w:r>
      <w:r w:rsidR="006E36D1" w:rsidRPr="00AE02C5">
        <w:rPr>
          <w:sz w:val="22"/>
          <w:lang w:val="nl-BE"/>
        </w:rPr>
        <w:t>.</w:t>
      </w:r>
    </w:p>
    <w:p w14:paraId="01AD9414" w14:textId="77777777" w:rsidR="008A157B" w:rsidRPr="00AE02C5" w:rsidRDefault="008A157B" w:rsidP="008A157B">
      <w:pPr>
        <w:pStyle w:val="Standaard1"/>
        <w:ind w:left="708"/>
        <w:jc w:val="both"/>
        <w:rPr>
          <w:sz w:val="22"/>
          <w:lang w:val="nl-BE"/>
        </w:rPr>
      </w:pPr>
    </w:p>
    <w:p w14:paraId="7B168007" w14:textId="02BC179F" w:rsidR="008A157B" w:rsidRPr="00AE02C5" w:rsidRDefault="008A157B" w:rsidP="008A157B">
      <w:pPr>
        <w:pStyle w:val="Standaard1"/>
        <w:ind w:left="708"/>
        <w:jc w:val="both"/>
        <w:rPr>
          <w:sz w:val="22"/>
          <w:lang w:val="nl-BE"/>
        </w:rPr>
      </w:pPr>
      <w:r w:rsidRPr="00AE02C5">
        <w:rPr>
          <w:sz w:val="22"/>
          <w:lang w:val="nl-BE"/>
        </w:rPr>
        <w:t>De Gemeenschappen en de Gewesten zijn al sinds enkele jaren betrokken bij de werkzaamheden van de ICHR. Deze entiteiten zijn bevoegd voor onderwijs, culturele aangelegenheden,</w:t>
      </w:r>
      <w:r w:rsidR="003D70A8" w:rsidRPr="00AE02C5">
        <w:rPr>
          <w:sz w:val="22"/>
          <w:lang w:val="nl-BE"/>
        </w:rPr>
        <w:t xml:space="preserve"> </w:t>
      </w:r>
      <w:r w:rsidRPr="00AE02C5">
        <w:rPr>
          <w:sz w:val="22"/>
          <w:lang w:val="nl-BE"/>
        </w:rPr>
        <w:t>monumenten en landschappen, ... alsook voor de uitoefening van deze bevoegdheden in hun buitenlandse betrekkingen.</w:t>
      </w:r>
    </w:p>
    <w:p w14:paraId="293A98AA" w14:textId="77777777" w:rsidR="008A157B" w:rsidRPr="00AE02C5" w:rsidRDefault="008A157B" w:rsidP="008A157B">
      <w:pPr>
        <w:pStyle w:val="Standaard1"/>
        <w:ind w:left="708"/>
        <w:jc w:val="both"/>
        <w:rPr>
          <w:sz w:val="22"/>
          <w:lang w:val="nl-BE"/>
        </w:rPr>
      </w:pPr>
    </w:p>
    <w:p w14:paraId="47FF6F93" w14:textId="77777777" w:rsidR="008A157B" w:rsidRPr="00AE02C5" w:rsidRDefault="008A157B" w:rsidP="008A157B">
      <w:pPr>
        <w:pStyle w:val="Standaard1"/>
        <w:ind w:left="708"/>
        <w:jc w:val="both"/>
        <w:rPr>
          <w:sz w:val="22"/>
          <w:lang w:val="nl-BE"/>
        </w:rPr>
      </w:pPr>
      <w:r w:rsidRPr="00AE02C5">
        <w:rPr>
          <w:sz w:val="22"/>
          <w:lang w:val="nl-BE"/>
        </w:rPr>
        <w:t>Andere federale departementen (bijvoorbeeld Mobiliteit en Vervoer, Economie, ...) die niet vertegenwoordigd zijn in de ICHR, kunnen bij sommige uitvoeringsmaatregelen betrokken zijn. In dat geval legt het Pilootdepartement, dat vertegenwoordigd is in de ICHR, de nodige contacten met die departementen.</w:t>
      </w:r>
    </w:p>
    <w:bookmarkEnd w:id="20"/>
    <w:p w14:paraId="2D682EA0" w14:textId="77777777" w:rsidR="008A157B" w:rsidRPr="00AE02C5" w:rsidRDefault="008A157B" w:rsidP="008A157B">
      <w:pPr>
        <w:pStyle w:val="Standaard1"/>
        <w:ind w:left="708"/>
        <w:jc w:val="center"/>
        <w:rPr>
          <w:sz w:val="22"/>
          <w:lang w:val="nl-BE"/>
        </w:rPr>
      </w:pPr>
    </w:p>
    <w:p w14:paraId="10D169E6" w14:textId="2E7E044D" w:rsidR="008A157B" w:rsidRPr="00AE02C5" w:rsidRDefault="008A157B" w:rsidP="008A157B">
      <w:pPr>
        <w:pStyle w:val="Standaard1"/>
        <w:ind w:left="708"/>
        <w:jc w:val="both"/>
        <w:rPr>
          <w:sz w:val="22"/>
          <w:lang w:val="nl-BE"/>
        </w:rPr>
      </w:pPr>
      <w:bookmarkStart w:id="21" w:name="_Hlk536650762"/>
      <w:r w:rsidRPr="00AE02C5">
        <w:rPr>
          <w:sz w:val="22"/>
          <w:lang w:val="nl-BE"/>
        </w:rPr>
        <w:t xml:space="preserve">Ook het Belgische Rode Kruis is betrokken bij de werkzaamheden van de ICHR overeenkomstig het koninklijk besluit van 6 december 2000 (art. 4, § 2). Krachtens de Statuten van de Internationale Beweging van het Rode Kruis en de Rode Halve Maan helpen de Nationale Verenigingen de autoriteiten immers om het IHR te verspreiden en werken zij ook samen met hun </w:t>
      </w:r>
      <w:r w:rsidR="00F82D79" w:rsidRPr="00AE02C5">
        <w:rPr>
          <w:sz w:val="22"/>
          <w:lang w:val="nl-BE"/>
        </w:rPr>
        <w:t>r</w:t>
      </w:r>
      <w:r w:rsidRPr="00AE02C5">
        <w:rPr>
          <w:sz w:val="22"/>
          <w:lang w:val="nl-BE"/>
        </w:rPr>
        <w:t>egering om het internationaal humanitair recht te doen eerbiedigen en de bescherming van de onderscheidende emblemen</w:t>
      </w:r>
      <w:r w:rsidR="00B8707E" w:rsidRPr="00AE02C5">
        <w:rPr>
          <w:sz w:val="22"/>
          <w:lang w:val="nl-BE"/>
        </w:rPr>
        <w:t>,</w:t>
      </w:r>
      <w:r w:rsidRPr="00AE02C5">
        <w:rPr>
          <w:sz w:val="22"/>
          <w:lang w:val="nl-BE"/>
        </w:rPr>
        <w:t xml:space="preserve"> erkend door de Verdragen van Genève en de Aanvullende Protocollen bij die verdragen</w:t>
      </w:r>
      <w:r w:rsidR="00B8707E" w:rsidRPr="00AE02C5">
        <w:rPr>
          <w:sz w:val="22"/>
          <w:lang w:val="nl-BE"/>
        </w:rPr>
        <w:t>,</w:t>
      </w:r>
      <w:r w:rsidRPr="00AE02C5">
        <w:rPr>
          <w:sz w:val="22"/>
          <w:lang w:val="nl-BE"/>
        </w:rPr>
        <w:t xml:space="preserve"> te waarborgen (Statuten goedgekeurd door de XXV</w:t>
      </w:r>
      <w:r w:rsidRPr="00AE02C5">
        <w:rPr>
          <w:sz w:val="22"/>
          <w:vertAlign w:val="superscript"/>
          <w:lang w:val="nl-BE"/>
        </w:rPr>
        <w:t>ste</w:t>
      </w:r>
      <w:r w:rsidRPr="00AE02C5">
        <w:rPr>
          <w:sz w:val="22"/>
          <w:lang w:val="nl-BE"/>
        </w:rPr>
        <w:t xml:space="preserve"> Internationale Conferentie van het Rode Kruis, in Genève, op 8 november 1986, en geamendeerd in 1995 et 2006, art. 3, § 2). Deze specifieke verantwoordelijkheid van de Nationale Verenigingen om de overheden van hun respectieve Staten op humanitair vlak te ondersteunen, werd overigens herhaald in resolutie 3 over “De herbevestiging en uitvoering van het internationaal humanitair recht”, goedgekeurd door de XXX</w:t>
      </w:r>
      <w:r w:rsidRPr="00AE02C5">
        <w:rPr>
          <w:sz w:val="22"/>
          <w:vertAlign w:val="superscript"/>
          <w:lang w:val="nl-BE"/>
        </w:rPr>
        <w:t>ste</w:t>
      </w:r>
      <w:r w:rsidRPr="00AE02C5">
        <w:rPr>
          <w:sz w:val="22"/>
          <w:lang w:val="nl-BE"/>
        </w:rPr>
        <w:t xml:space="preserve"> Internationale Conferentie van het Rode Kruis en de Rode Halve Maan van 2007 (preambule, 15</w:t>
      </w:r>
      <w:r w:rsidRPr="00AE02C5">
        <w:rPr>
          <w:sz w:val="22"/>
          <w:vertAlign w:val="superscript"/>
          <w:lang w:val="nl-BE"/>
        </w:rPr>
        <w:t>e</w:t>
      </w:r>
      <w:r w:rsidRPr="00AE02C5">
        <w:rPr>
          <w:sz w:val="22"/>
          <w:lang w:val="nl-BE"/>
        </w:rPr>
        <w:t xml:space="preserve"> considerans). </w:t>
      </w:r>
    </w:p>
    <w:bookmarkEnd w:id="21"/>
    <w:p w14:paraId="4CD851C1" w14:textId="77777777" w:rsidR="008A157B" w:rsidRPr="00AE02C5" w:rsidRDefault="008A157B" w:rsidP="008A157B">
      <w:pPr>
        <w:pStyle w:val="Standaard1"/>
        <w:ind w:left="708"/>
        <w:jc w:val="both"/>
        <w:rPr>
          <w:sz w:val="22"/>
          <w:lang w:val="nl-BE"/>
        </w:rPr>
      </w:pPr>
    </w:p>
    <w:p w14:paraId="21C5319B" w14:textId="77777777" w:rsidR="008A157B" w:rsidRPr="00AE02C5" w:rsidRDefault="008A157B" w:rsidP="008A157B">
      <w:pPr>
        <w:pStyle w:val="Standaard1"/>
        <w:ind w:left="708" w:hanging="708"/>
        <w:jc w:val="both"/>
        <w:rPr>
          <w:sz w:val="22"/>
          <w:lang w:val="nl-BE"/>
        </w:rPr>
      </w:pPr>
    </w:p>
    <w:p w14:paraId="250CCEA4" w14:textId="77777777" w:rsidR="008A157B" w:rsidRPr="00AE02C5" w:rsidRDefault="008A157B" w:rsidP="008A157B">
      <w:pPr>
        <w:pStyle w:val="Standaard1"/>
        <w:ind w:left="708" w:hanging="708"/>
        <w:jc w:val="both"/>
        <w:rPr>
          <w:sz w:val="22"/>
          <w:lang w:val="nl-BE"/>
        </w:rPr>
      </w:pPr>
    </w:p>
    <w:p w14:paraId="7760406B" w14:textId="77777777" w:rsidR="008A157B" w:rsidRPr="00AE02C5" w:rsidRDefault="008A157B" w:rsidP="008A157B">
      <w:pPr>
        <w:pStyle w:val="Standaard1"/>
        <w:shd w:val="pct10" w:color="auto" w:fill="auto"/>
        <w:ind w:left="708" w:hanging="708"/>
        <w:jc w:val="both"/>
        <w:rPr>
          <w:b/>
          <w:sz w:val="22"/>
          <w:lang w:val="nl-BE"/>
        </w:rPr>
      </w:pPr>
      <w:r w:rsidRPr="00AE02C5">
        <w:rPr>
          <w:b/>
          <w:sz w:val="22"/>
          <w:lang w:val="nl-BE"/>
        </w:rPr>
        <w:t>III.</w:t>
      </w:r>
      <w:r w:rsidRPr="00AE02C5">
        <w:rPr>
          <w:b/>
          <w:sz w:val="22"/>
          <w:lang w:val="nl-BE"/>
        </w:rPr>
        <w:tab/>
        <w:t xml:space="preserve">BUDGETTAIRE WEERSLAG </w:t>
      </w:r>
    </w:p>
    <w:p w14:paraId="429436B7" w14:textId="77777777" w:rsidR="008A157B" w:rsidRPr="00AE02C5" w:rsidRDefault="008A157B" w:rsidP="008A157B">
      <w:pPr>
        <w:pStyle w:val="Standaard1"/>
        <w:ind w:left="708" w:hanging="708"/>
        <w:jc w:val="both"/>
        <w:rPr>
          <w:sz w:val="22"/>
          <w:lang w:val="nl-BE"/>
        </w:rPr>
      </w:pPr>
    </w:p>
    <w:p w14:paraId="4B03EF69" w14:textId="77777777" w:rsidR="008A157B" w:rsidRPr="00AE02C5" w:rsidRDefault="008A157B" w:rsidP="008A157B">
      <w:pPr>
        <w:pStyle w:val="Standaard1"/>
        <w:ind w:left="708"/>
        <w:jc w:val="both"/>
        <w:rPr>
          <w:sz w:val="22"/>
          <w:lang w:val="nl-BE"/>
        </w:rPr>
      </w:pPr>
      <w:bookmarkStart w:id="22" w:name="_Hlk536708380"/>
      <w:bookmarkStart w:id="23" w:name="_Hlk536708988"/>
      <w:r w:rsidRPr="00AE02C5">
        <w:rPr>
          <w:sz w:val="22"/>
          <w:lang w:val="nl-BE"/>
        </w:rPr>
        <w:t>De meeste uitvoeringsmaatregelen ressorteren onder de gewone werking van de betrokken machten, overheden en openbare diensten.</w:t>
      </w:r>
    </w:p>
    <w:p w14:paraId="71045C51" w14:textId="77777777" w:rsidR="008A157B" w:rsidRPr="00AE02C5" w:rsidRDefault="008A157B" w:rsidP="008A157B">
      <w:pPr>
        <w:pStyle w:val="Standaard1"/>
        <w:ind w:left="708" w:hanging="708"/>
        <w:jc w:val="both"/>
        <w:rPr>
          <w:sz w:val="22"/>
          <w:lang w:val="nl-BE"/>
        </w:rPr>
      </w:pPr>
    </w:p>
    <w:p w14:paraId="4F569313" w14:textId="77777777" w:rsidR="008A157B" w:rsidRPr="00AE02C5" w:rsidRDefault="008A157B" w:rsidP="008A157B">
      <w:pPr>
        <w:pStyle w:val="Standaard1"/>
        <w:ind w:left="708"/>
        <w:jc w:val="both"/>
        <w:rPr>
          <w:sz w:val="22"/>
          <w:lang w:val="nl-BE"/>
        </w:rPr>
      </w:pPr>
      <w:r w:rsidRPr="00AE02C5">
        <w:rPr>
          <w:sz w:val="22"/>
          <w:lang w:val="nl-BE"/>
        </w:rPr>
        <w:t>Sommige uitvoeringsmaatregelen kunnen niettemin een reële financiële weerslag hebben; dit zal worden vermeld in het werkdocument betreffende elk van deze maatregelen.</w:t>
      </w:r>
    </w:p>
    <w:p w14:paraId="47551F49" w14:textId="77777777" w:rsidR="008A157B" w:rsidRPr="00AE02C5" w:rsidRDefault="008A157B" w:rsidP="008A157B">
      <w:pPr>
        <w:pStyle w:val="Standaard1"/>
        <w:ind w:left="708"/>
        <w:jc w:val="both"/>
        <w:rPr>
          <w:sz w:val="22"/>
          <w:lang w:val="nl-BE"/>
        </w:rPr>
      </w:pPr>
    </w:p>
    <w:bookmarkEnd w:id="22"/>
    <w:p w14:paraId="279E1621" w14:textId="77777777" w:rsidR="008A157B" w:rsidRPr="00AE02C5" w:rsidRDefault="008A157B" w:rsidP="008A157B">
      <w:pPr>
        <w:pStyle w:val="Standaard1"/>
        <w:ind w:left="708"/>
        <w:jc w:val="both"/>
        <w:rPr>
          <w:sz w:val="22"/>
          <w:lang w:val="nl-BE"/>
        </w:rPr>
      </w:pPr>
      <w:r w:rsidRPr="00AE02C5">
        <w:rPr>
          <w:sz w:val="22"/>
          <w:lang w:val="nl-BE"/>
        </w:rPr>
        <w:lastRenderedPageBreak/>
        <w:t>De werking van de ICHR heeft tot op heden geen andere budgettaire implicaties gehad dan die welke eigen zijn aan de gewone werking van de Ministeries (later de Federale Overheidsdiensten – FOD’s) en diensten die in deze Commissie vertegenwoordigd zijn.</w:t>
      </w:r>
    </w:p>
    <w:p w14:paraId="76C3A4F6" w14:textId="77777777" w:rsidR="008A157B" w:rsidRPr="00AE02C5" w:rsidRDefault="008A157B" w:rsidP="008A157B">
      <w:pPr>
        <w:pStyle w:val="Standaard1"/>
        <w:ind w:left="708"/>
        <w:jc w:val="both"/>
        <w:rPr>
          <w:sz w:val="22"/>
          <w:lang w:val="nl-BE"/>
        </w:rPr>
      </w:pPr>
    </w:p>
    <w:p w14:paraId="4A9C5B51" w14:textId="77777777" w:rsidR="008A157B" w:rsidRPr="00AE02C5" w:rsidRDefault="008A157B" w:rsidP="008A157B">
      <w:pPr>
        <w:pStyle w:val="Standaard1"/>
        <w:ind w:left="708"/>
        <w:jc w:val="both"/>
        <w:rPr>
          <w:sz w:val="22"/>
          <w:lang w:val="nl-BE"/>
        </w:rPr>
      </w:pPr>
      <w:r w:rsidRPr="00AE02C5">
        <w:rPr>
          <w:sz w:val="22"/>
          <w:lang w:val="nl-BE"/>
        </w:rPr>
        <w:t>Het organiek koninklijk besluit van 6 december 2000 betreffende de ICHR (</w:t>
      </w:r>
      <w:r w:rsidRPr="00AE02C5">
        <w:rPr>
          <w:i/>
          <w:sz w:val="22"/>
          <w:lang w:val="nl-BE"/>
        </w:rPr>
        <w:t>Belgisch Staatsblad</w:t>
      </w:r>
      <w:r w:rsidRPr="00AE02C5">
        <w:rPr>
          <w:sz w:val="22"/>
          <w:lang w:val="nl-BE"/>
        </w:rPr>
        <w:t xml:space="preserve"> van 12 december 2000), gewijzigd door het koninklijk besluit van 22 juni 2016 (</w:t>
      </w:r>
      <w:r w:rsidRPr="00AE02C5">
        <w:rPr>
          <w:i/>
          <w:sz w:val="22"/>
          <w:lang w:val="nl-BE"/>
        </w:rPr>
        <w:t>Belgisch Staatsblad</w:t>
      </w:r>
      <w:r w:rsidRPr="00AE02C5">
        <w:rPr>
          <w:sz w:val="22"/>
          <w:lang w:val="nl-BE"/>
        </w:rPr>
        <w:t xml:space="preserve"> van 19 augustus 2016), bepaalt dat de Voogdijminister van de ICHR – in dit geval de </w:t>
      </w:r>
      <w:bookmarkEnd w:id="23"/>
      <w:r w:rsidRPr="00AE02C5">
        <w:rPr>
          <w:sz w:val="22"/>
          <w:lang w:val="nl-BE"/>
        </w:rPr>
        <w:t>Minister bevoegd voor Buitenlandse Zaken – de Commissie administratief personeel, lokalen en materiële middelen ter beschikking stelt (artikel 9 van het koninklijk besluit).</w:t>
      </w:r>
    </w:p>
    <w:p w14:paraId="118B403A" w14:textId="77777777" w:rsidR="00ED3396" w:rsidRPr="00AE02C5" w:rsidRDefault="00AD52B0">
      <w:pPr>
        <w:pStyle w:val="Standaard1"/>
        <w:ind w:left="708" w:hanging="708"/>
        <w:jc w:val="both"/>
        <w:rPr>
          <w:sz w:val="22"/>
          <w:lang w:val="nl-BE"/>
        </w:rPr>
      </w:pPr>
      <w:r w:rsidRPr="00AE02C5">
        <w:rPr>
          <w:sz w:val="22"/>
          <w:lang w:val="nl-BE"/>
        </w:rPr>
        <w:t xml:space="preserve"> </w:t>
      </w:r>
    </w:p>
    <w:p w14:paraId="262BA29A" w14:textId="77777777" w:rsidR="00ED3396" w:rsidRPr="00AE02C5" w:rsidRDefault="00ED3396">
      <w:pPr>
        <w:pStyle w:val="Standaard1"/>
        <w:ind w:left="708" w:hanging="708"/>
        <w:jc w:val="both"/>
        <w:rPr>
          <w:sz w:val="22"/>
          <w:lang w:val="nl-BE"/>
        </w:rPr>
      </w:pPr>
    </w:p>
    <w:p w14:paraId="7309A3E4" w14:textId="3EE49858" w:rsidR="00ED3396" w:rsidRPr="00AE02C5" w:rsidRDefault="00ED3396">
      <w:pPr>
        <w:pStyle w:val="Standaard1"/>
        <w:shd w:val="pct10" w:color="auto" w:fill="auto"/>
        <w:ind w:left="708" w:hanging="708"/>
        <w:jc w:val="both"/>
        <w:rPr>
          <w:b/>
          <w:caps/>
          <w:sz w:val="22"/>
          <w:lang w:val="nl-BE"/>
        </w:rPr>
      </w:pPr>
      <w:bookmarkStart w:id="24" w:name="_Hlk536710800"/>
      <w:r w:rsidRPr="00AE02C5">
        <w:rPr>
          <w:b/>
          <w:caps/>
          <w:sz w:val="22"/>
          <w:lang w:val="nl-BE"/>
        </w:rPr>
        <w:t>IV.</w:t>
      </w:r>
      <w:r w:rsidRPr="00AE02C5">
        <w:rPr>
          <w:b/>
          <w:caps/>
          <w:sz w:val="22"/>
          <w:lang w:val="nl-BE"/>
        </w:rPr>
        <w:tab/>
      </w:r>
      <w:r w:rsidR="00376993" w:rsidRPr="00AE02C5">
        <w:rPr>
          <w:b/>
          <w:caps/>
          <w:sz w:val="22"/>
          <w:lang w:val="nl-BE"/>
        </w:rPr>
        <w:t>STAND VAN ZAKEN</w:t>
      </w:r>
    </w:p>
    <w:p w14:paraId="53E159A3" w14:textId="77777777" w:rsidR="00ED3396" w:rsidRPr="00AE02C5" w:rsidRDefault="00ED3396">
      <w:pPr>
        <w:pStyle w:val="Standaard1"/>
        <w:ind w:left="708" w:hanging="708"/>
        <w:jc w:val="both"/>
        <w:rPr>
          <w:sz w:val="22"/>
          <w:lang w:val="nl-BE"/>
        </w:rPr>
      </w:pPr>
    </w:p>
    <w:p w14:paraId="01C24D94" w14:textId="4D4122B5" w:rsidR="00376993" w:rsidRPr="00AE02C5" w:rsidRDefault="005F4F4C" w:rsidP="00376993">
      <w:pPr>
        <w:numPr>
          <w:ilvl w:val="1"/>
          <w:numId w:val="40"/>
        </w:numPr>
        <w:ind w:left="1416" w:hanging="708"/>
        <w:jc w:val="both"/>
        <w:rPr>
          <w:sz w:val="22"/>
          <w:lang w:val="nl-BE"/>
        </w:rPr>
      </w:pPr>
      <w:r w:rsidRPr="00AE02C5">
        <w:rPr>
          <w:sz w:val="22"/>
          <w:lang w:val="nl-BE"/>
        </w:rPr>
        <w:t>M</w:t>
      </w:r>
      <w:r w:rsidR="00376993" w:rsidRPr="00AE02C5">
        <w:rPr>
          <w:sz w:val="22"/>
          <w:lang w:val="nl-BE"/>
        </w:rPr>
        <w:t xml:space="preserve">aatregelen waarbij de </w:t>
      </w:r>
      <w:r w:rsidR="00410878" w:rsidRPr="00AE02C5">
        <w:rPr>
          <w:sz w:val="22"/>
          <w:lang w:val="nl-BE"/>
        </w:rPr>
        <w:t>verdragen</w:t>
      </w:r>
      <w:r w:rsidR="00376993" w:rsidRPr="00AE02C5">
        <w:rPr>
          <w:sz w:val="22"/>
          <w:lang w:val="nl-BE"/>
        </w:rPr>
        <w:t xml:space="preserve"> in de Belgische rechtsorde </w:t>
      </w:r>
      <w:r w:rsidR="00F82D79" w:rsidRPr="00AE02C5">
        <w:rPr>
          <w:sz w:val="22"/>
          <w:lang w:val="nl-BE"/>
        </w:rPr>
        <w:t>zijn</w:t>
      </w:r>
      <w:r w:rsidR="00376993" w:rsidRPr="00AE02C5">
        <w:rPr>
          <w:sz w:val="22"/>
          <w:lang w:val="nl-BE"/>
        </w:rPr>
        <w:t xml:space="preserve"> ingevoerd</w:t>
      </w:r>
    </w:p>
    <w:p w14:paraId="2456F946" w14:textId="71DDC9F3" w:rsidR="00ED3396" w:rsidRPr="00AE02C5" w:rsidRDefault="00F82D79" w:rsidP="00F82D79">
      <w:pPr>
        <w:pStyle w:val="Standaard1"/>
        <w:tabs>
          <w:tab w:val="left" w:pos="3275"/>
        </w:tabs>
        <w:ind w:left="1416" w:hanging="708"/>
        <w:jc w:val="both"/>
        <w:rPr>
          <w:sz w:val="22"/>
          <w:lang w:val="nl-BE"/>
        </w:rPr>
      </w:pPr>
      <w:r w:rsidRPr="00AE02C5">
        <w:rPr>
          <w:sz w:val="22"/>
          <w:lang w:val="nl-BE"/>
        </w:rPr>
        <w:tab/>
      </w:r>
      <w:r w:rsidRPr="00AE02C5">
        <w:rPr>
          <w:sz w:val="22"/>
          <w:lang w:val="nl-BE"/>
        </w:rPr>
        <w:tab/>
      </w:r>
    </w:p>
    <w:p w14:paraId="37A5B8F0" w14:textId="24B650C7" w:rsidR="00ED3396" w:rsidRPr="00AE02C5" w:rsidRDefault="00376993">
      <w:pPr>
        <w:pStyle w:val="Standaard1"/>
        <w:ind w:left="2124" w:hanging="708"/>
        <w:jc w:val="both"/>
        <w:rPr>
          <w:sz w:val="22"/>
          <w:lang w:val="nl-BE"/>
        </w:rPr>
      </w:pPr>
      <w:r w:rsidRPr="00AE02C5">
        <w:rPr>
          <w:sz w:val="22"/>
          <w:lang w:val="nl-BE"/>
        </w:rPr>
        <w:t>1.</w:t>
      </w:r>
      <w:r w:rsidRPr="00AE02C5">
        <w:rPr>
          <w:sz w:val="22"/>
          <w:lang w:val="nl-BE"/>
        </w:rPr>
        <w:tab/>
      </w:r>
      <w:r w:rsidR="00410878" w:rsidRPr="00AE02C5">
        <w:rPr>
          <w:sz w:val="22"/>
          <w:lang w:val="nl-BE"/>
        </w:rPr>
        <w:t>Verdragen</w:t>
      </w:r>
      <w:r w:rsidRPr="00AE02C5">
        <w:rPr>
          <w:sz w:val="22"/>
          <w:lang w:val="nl-BE"/>
        </w:rPr>
        <w:t xml:space="preserve"> van</w:t>
      </w:r>
      <w:r w:rsidR="00ED3396" w:rsidRPr="00AE02C5">
        <w:rPr>
          <w:sz w:val="22"/>
          <w:lang w:val="nl-BE"/>
        </w:rPr>
        <w:t xml:space="preserve"> Genève</w:t>
      </w:r>
    </w:p>
    <w:p w14:paraId="6BB4A61A" w14:textId="77777777" w:rsidR="00ED3396" w:rsidRPr="00AE02C5" w:rsidRDefault="00ED3396">
      <w:pPr>
        <w:pStyle w:val="Standaard1"/>
        <w:ind w:left="708" w:hanging="708"/>
        <w:jc w:val="both"/>
        <w:rPr>
          <w:sz w:val="22"/>
          <w:lang w:val="nl-BE"/>
        </w:rPr>
      </w:pPr>
    </w:p>
    <w:p w14:paraId="0C552843" w14:textId="28681ECD" w:rsidR="00ED3396" w:rsidRPr="00AE02C5" w:rsidRDefault="00376993">
      <w:pPr>
        <w:pStyle w:val="Standaard1"/>
        <w:ind w:left="2124"/>
        <w:jc w:val="both"/>
        <w:rPr>
          <w:sz w:val="22"/>
          <w:lang w:val="nl-BE"/>
        </w:rPr>
      </w:pPr>
      <w:r w:rsidRPr="00AE02C5">
        <w:rPr>
          <w:sz w:val="22"/>
          <w:lang w:val="nl-BE"/>
        </w:rPr>
        <w:t xml:space="preserve">De vier </w:t>
      </w:r>
      <w:r w:rsidR="00410878" w:rsidRPr="00AE02C5">
        <w:rPr>
          <w:sz w:val="22"/>
          <w:lang w:val="nl-BE"/>
        </w:rPr>
        <w:t>Verdragen</w:t>
      </w:r>
      <w:r w:rsidRPr="00AE02C5">
        <w:rPr>
          <w:sz w:val="22"/>
          <w:lang w:val="nl-BE"/>
        </w:rPr>
        <w:t xml:space="preserve"> van Genève van 12 augustus 1949 werden </w:t>
      </w:r>
      <w:r w:rsidR="005F4F4C" w:rsidRPr="00AE02C5">
        <w:rPr>
          <w:sz w:val="22"/>
          <w:lang w:val="nl-BE"/>
        </w:rPr>
        <w:t xml:space="preserve">goedgekeurd </w:t>
      </w:r>
      <w:r w:rsidRPr="00AE02C5">
        <w:rPr>
          <w:sz w:val="22"/>
          <w:lang w:val="nl-BE"/>
        </w:rPr>
        <w:t>bij de Belgische wet van 3 september 1952 (</w:t>
      </w:r>
      <w:r w:rsidRPr="00AE02C5">
        <w:rPr>
          <w:i/>
          <w:sz w:val="22"/>
          <w:lang w:val="nl-BE"/>
        </w:rPr>
        <w:t>Belgisch Staatsblad</w:t>
      </w:r>
      <w:r w:rsidRPr="00AE02C5">
        <w:rPr>
          <w:sz w:val="22"/>
          <w:lang w:val="nl-BE"/>
        </w:rPr>
        <w:t xml:space="preserve"> van 26 september 1952). De ratificatie-instrumenten werden op 3 september 1952 neergelegd en de </w:t>
      </w:r>
      <w:r w:rsidR="00410878" w:rsidRPr="00AE02C5">
        <w:rPr>
          <w:sz w:val="22"/>
          <w:lang w:val="nl-BE"/>
        </w:rPr>
        <w:t>Verdragen</w:t>
      </w:r>
      <w:r w:rsidRPr="00AE02C5">
        <w:rPr>
          <w:sz w:val="22"/>
          <w:lang w:val="nl-BE"/>
        </w:rPr>
        <w:t xml:space="preserve"> zijn op 3 maart 1953 </w:t>
      </w:r>
      <w:r w:rsidR="00410878" w:rsidRPr="00AE02C5">
        <w:rPr>
          <w:sz w:val="22"/>
          <w:lang w:val="nl-BE"/>
        </w:rPr>
        <w:t>in werking getreden</w:t>
      </w:r>
      <w:r w:rsidR="00CC0D72" w:rsidRPr="00AE02C5">
        <w:rPr>
          <w:sz w:val="22"/>
          <w:lang w:val="nl-BE"/>
        </w:rPr>
        <w:t xml:space="preserve"> in België</w:t>
      </w:r>
      <w:r w:rsidR="00ED3396" w:rsidRPr="00AE02C5">
        <w:rPr>
          <w:sz w:val="22"/>
          <w:lang w:val="nl-BE"/>
        </w:rPr>
        <w:t>.</w:t>
      </w:r>
    </w:p>
    <w:p w14:paraId="39F64CB6" w14:textId="77777777" w:rsidR="00ED3396" w:rsidRPr="00AE02C5" w:rsidRDefault="00ED3396">
      <w:pPr>
        <w:pStyle w:val="Standaard1"/>
        <w:ind w:left="708" w:hanging="708"/>
        <w:jc w:val="both"/>
        <w:rPr>
          <w:sz w:val="22"/>
          <w:lang w:val="nl-BE"/>
        </w:rPr>
      </w:pPr>
    </w:p>
    <w:p w14:paraId="38E9A8B3" w14:textId="05D613CC" w:rsidR="00ED3396" w:rsidRPr="00AE02C5" w:rsidRDefault="00ED3396">
      <w:pPr>
        <w:pStyle w:val="Standaard1"/>
        <w:ind w:left="2124" w:hanging="708"/>
        <w:jc w:val="both"/>
        <w:rPr>
          <w:sz w:val="22"/>
          <w:lang w:val="nl-BE"/>
        </w:rPr>
      </w:pPr>
      <w:r w:rsidRPr="00AE02C5">
        <w:rPr>
          <w:sz w:val="22"/>
          <w:lang w:val="nl-BE"/>
        </w:rPr>
        <w:t>2.</w:t>
      </w:r>
      <w:r w:rsidRPr="00AE02C5">
        <w:rPr>
          <w:sz w:val="22"/>
          <w:lang w:val="nl-BE"/>
        </w:rPr>
        <w:tab/>
      </w:r>
      <w:r w:rsidR="00376993" w:rsidRPr="00AE02C5">
        <w:rPr>
          <w:sz w:val="22"/>
          <w:lang w:val="nl-BE"/>
        </w:rPr>
        <w:t xml:space="preserve">Aanvullende </w:t>
      </w:r>
      <w:r w:rsidR="00CC0D72" w:rsidRPr="00AE02C5">
        <w:rPr>
          <w:sz w:val="22"/>
          <w:lang w:val="nl-BE"/>
        </w:rPr>
        <w:t>P</w:t>
      </w:r>
      <w:r w:rsidR="00376993" w:rsidRPr="00AE02C5">
        <w:rPr>
          <w:sz w:val="22"/>
          <w:lang w:val="nl-BE"/>
        </w:rPr>
        <w:t>rotocollen</w:t>
      </w:r>
    </w:p>
    <w:p w14:paraId="76F9B8E9" w14:textId="77777777" w:rsidR="00ED3396" w:rsidRPr="00AE02C5" w:rsidRDefault="00ED3396">
      <w:pPr>
        <w:pStyle w:val="Standaard1"/>
        <w:ind w:left="708" w:hanging="708"/>
        <w:jc w:val="both"/>
        <w:rPr>
          <w:sz w:val="22"/>
          <w:lang w:val="nl-BE"/>
        </w:rPr>
      </w:pPr>
    </w:p>
    <w:p w14:paraId="6537B356" w14:textId="33A7C91D" w:rsidR="00ED3396" w:rsidRPr="00AE02C5" w:rsidRDefault="00376993">
      <w:pPr>
        <w:pStyle w:val="Standaard1"/>
        <w:ind w:left="2124"/>
        <w:jc w:val="both"/>
        <w:rPr>
          <w:sz w:val="22"/>
          <w:lang w:val="nl-BE"/>
        </w:rPr>
      </w:pPr>
      <w:r w:rsidRPr="00AE02C5">
        <w:rPr>
          <w:sz w:val="22"/>
          <w:lang w:val="nl-BE"/>
        </w:rPr>
        <w:t>De Aanvullende Protocollen van 1977 werden goedgekeurd bij de Belgische wet van 16 april 1986 (</w:t>
      </w:r>
      <w:r w:rsidRPr="00AE02C5">
        <w:rPr>
          <w:i/>
          <w:sz w:val="22"/>
          <w:lang w:val="nl-BE"/>
        </w:rPr>
        <w:t>Belgisch Staatsblad</w:t>
      </w:r>
      <w:r w:rsidRPr="00AE02C5">
        <w:rPr>
          <w:sz w:val="22"/>
          <w:lang w:val="nl-BE"/>
        </w:rPr>
        <w:t xml:space="preserve"> van 7 november 1986). De</w:t>
      </w:r>
      <w:r w:rsidR="00595354" w:rsidRPr="00AE02C5">
        <w:rPr>
          <w:sz w:val="22"/>
          <w:lang w:val="nl-BE"/>
        </w:rPr>
        <w:t>ze</w:t>
      </w:r>
      <w:r w:rsidRPr="00AE02C5">
        <w:rPr>
          <w:sz w:val="22"/>
          <w:lang w:val="nl-BE"/>
        </w:rPr>
        <w:t xml:space="preserve"> wet bevat een artikel volgens hetwelk de Koning gemachtigd is om een verklaring te ondertekenen waarbij namens België de bevoegdheid van de Internationale Commissie voor feitenonderzoek wordt erkend</w:t>
      </w:r>
      <w:r w:rsidR="00ED3396" w:rsidRPr="00AE02C5">
        <w:rPr>
          <w:sz w:val="22"/>
          <w:lang w:val="nl-BE"/>
        </w:rPr>
        <w:t>.</w:t>
      </w:r>
    </w:p>
    <w:p w14:paraId="24E7CB47" w14:textId="77777777" w:rsidR="00ED3396" w:rsidRPr="00AE02C5" w:rsidRDefault="00ED3396">
      <w:pPr>
        <w:pStyle w:val="Standaard1"/>
        <w:ind w:left="2127"/>
        <w:jc w:val="both"/>
        <w:rPr>
          <w:sz w:val="22"/>
          <w:lang w:val="nl-BE"/>
        </w:rPr>
      </w:pPr>
    </w:p>
    <w:p w14:paraId="6B6E1EE2" w14:textId="7DED8074" w:rsidR="00ED3396" w:rsidRPr="00AE02C5" w:rsidRDefault="00595354">
      <w:pPr>
        <w:pStyle w:val="Standaard1"/>
        <w:ind w:left="2127"/>
        <w:jc w:val="both"/>
        <w:rPr>
          <w:sz w:val="22"/>
          <w:lang w:val="nl-BE"/>
        </w:rPr>
      </w:pPr>
      <w:r w:rsidRPr="00AE02C5">
        <w:rPr>
          <w:sz w:val="22"/>
          <w:lang w:val="nl-BE"/>
        </w:rPr>
        <w:t>Op 20 mei 1986 werden de ratificatie-instrumenten</w:t>
      </w:r>
      <w:r w:rsidR="00897B72" w:rsidRPr="00AE02C5">
        <w:rPr>
          <w:sz w:val="22"/>
          <w:lang w:val="nl-BE"/>
        </w:rPr>
        <w:t xml:space="preserve"> neergelegd</w:t>
      </w:r>
      <w:r w:rsidRPr="00AE02C5">
        <w:rPr>
          <w:sz w:val="22"/>
          <w:lang w:val="nl-BE"/>
        </w:rPr>
        <w:t xml:space="preserve"> bij de Zwitserse Federale Raad</w:t>
      </w:r>
      <w:r w:rsidR="00897B72" w:rsidRPr="00AE02C5">
        <w:rPr>
          <w:sz w:val="22"/>
          <w:lang w:val="nl-BE"/>
        </w:rPr>
        <w:t xml:space="preserve"> in Bern</w:t>
      </w:r>
      <w:r w:rsidRPr="00AE02C5">
        <w:rPr>
          <w:sz w:val="22"/>
          <w:lang w:val="nl-BE"/>
        </w:rPr>
        <w:t>. De Aanvullende Protocollen zijn op 20 november 1986 in werking getreden</w:t>
      </w:r>
      <w:r w:rsidR="004A274F" w:rsidRPr="00AE02C5">
        <w:rPr>
          <w:sz w:val="22"/>
          <w:lang w:val="nl-BE"/>
        </w:rPr>
        <w:t xml:space="preserve"> in België</w:t>
      </w:r>
      <w:r w:rsidR="00ED3396" w:rsidRPr="00AE02C5">
        <w:rPr>
          <w:sz w:val="22"/>
          <w:lang w:val="nl-BE"/>
        </w:rPr>
        <w:t>.</w:t>
      </w:r>
    </w:p>
    <w:p w14:paraId="7AA3B7DD" w14:textId="0CC5D515" w:rsidR="00ED3396" w:rsidRPr="00AE02C5" w:rsidRDefault="00595354">
      <w:pPr>
        <w:pStyle w:val="Standaard1"/>
        <w:ind w:left="2127"/>
        <w:jc w:val="both"/>
        <w:rPr>
          <w:sz w:val="22"/>
          <w:lang w:val="nl-BE"/>
        </w:rPr>
      </w:pPr>
      <w:r w:rsidRPr="00AE02C5">
        <w:rPr>
          <w:sz w:val="22"/>
          <w:lang w:val="nl-BE"/>
        </w:rPr>
        <w:t xml:space="preserve">De interpretatieve verklaringen, die België in verband met Protocol I bij de neerlegging van het ratificatie-instrument heeft afgelegd, werden bekendgemaakt in het </w:t>
      </w:r>
      <w:r w:rsidRPr="00AE02C5">
        <w:rPr>
          <w:i/>
          <w:sz w:val="22"/>
          <w:lang w:val="nl-BE"/>
        </w:rPr>
        <w:t>Belgisch Staatsblad</w:t>
      </w:r>
      <w:r w:rsidRPr="00AE02C5">
        <w:rPr>
          <w:sz w:val="22"/>
          <w:lang w:val="nl-BE"/>
        </w:rPr>
        <w:t xml:space="preserve"> van 22 november 1986</w:t>
      </w:r>
      <w:r w:rsidR="00ED3396" w:rsidRPr="00AE02C5">
        <w:rPr>
          <w:sz w:val="22"/>
          <w:lang w:val="nl-BE"/>
        </w:rPr>
        <w:t>.</w:t>
      </w:r>
    </w:p>
    <w:p w14:paraId="75D18B8C" w14:textId="77777777" w:rsidR="00ED3396" w:rsidRPr="00AE02C5" w:rsidRDefault="00ED3396">
      <w:pPr>
        <w:pStyle w:val="Standaard1"/>
        <w:ind w:left="2127" w:hanging="708"/>
        <w:jc w:val="both"/>
        <w:rPr>
          <w:sz w:val="22"/>
          <w:lang w:val="nl-BE"/>
        </w:rPr>
      </w:pPr>
    </w:p>
    <w:p w14:paraId="02E37A37" w14:textId="6A04C192" w:rsidR="00ED3396" w:rsidRPr="00AE02C5" w:rsidRDefault="00595354">
      <w:pPr>
        <w:pStyle w:val="Standaard1"/>
        <w:ind w:left="2127"/>
        <w:jc w:val="both"/>
        <w:rPr>
          <w:sz w:val="22"/>
          <w:lang w:val="nl-BE"/>
        </w:rPr>
      </w:pPr>
      <w:r w:rsidRPr="00AE02C5">
        <w:rPr>
          <w:sz w:val="22"/>
          <w:lang w:val="nl-BE"/>
        </w:rPr>
        <w:t xml:space="preserve">Wat de verklaring betreft die België heeft afgelegd in verband met de erkenning van de bevoegdheid van de Internationale Commissie voor </w:t>
      </w:r>
      <w:r w:rsidR="00AD614D" w:rsidRPr="00AE02C5">
        <w:rPr>
          <w:sz w:val="22"/>
          <w:lang w:val="nl-BE"/>
        </w:rPr>
        <w:t>fei</w:t>
      </w:r>
      <w:r w:rsidRPr="00AE02C5">
        <w:rPr>
          <w:sz w:val="22"/>
          <w:lang w:val="nl-BE"/>
        </w:rPr>
        <w:t xml:space="preserve">tenonderzoek, zie werkdocument nr. 10, “Aanvaarding van de bevoegdheid van de Internationale Commissie voor </w:t>
      </w:r>
      <w:r w:rsidR="00AD614D" w:rsidRPr="00AE02C5">
        <w:rPr>
          <w:sz w:val="22"/>
          <w:lang w:val="nl-BE"/>
        </w:rPr>
        <w:t>f</w:t>
      </w:r>
      <w:r w:rsidRPr="00AE02C5">
        <w:rPr>
          <w:sz w:val="22"/>
          <w:lang w:val="nl-BE"/>
        </w:rPr>
        <w:t>eitenonderzoek</w:t>
      </w:r>
      <w:r w:rsidR="00ED3396" w:rsidRPr="00AE02C5">
        <w:rPr>
          <w:sz w:val="22"/>
          <w:lang w:val="nl-BE"/>
        </w:rPr>
        <w:t>”.</w:t>
      </w:r>
    </w:p>
    <w:p w14:paraId="0C943F96" w14:textId="2E9CF018" w:rsidR="00FE713F" w:rsidRPr="00AE02C5" w:rsidRDefault="00FE713F">
      <w:pPr>
        <w:pStyle w:val="Standaard1"/>
        <w:ind w:left="2127"/>
        <w:jc w:val="both"/>
        <w:rPr>
          <w:sz w:val="22"/>
          <w:lang w:val="nl-BE"/>
        </w:rPr>
      </w:pPr>
    </w:p>
    <w:p w14:paraId="792C2BE5" w14:textId="18CD296D" w:rsidR="00FE713F" w:rsidRPr="00AE02C5" w:rsidRDefault="00595354" w:rsidP="00232390">
      <w:pPr>
        <w:pStyle w:val="Standaard2"/>
        <w:ind w:left="2127"/>
        <w:jc w:val="both"/>
        <w:rPr>
          <w:sz w:val="22"/>
          <w:lang w:val="nl-BE"/>
        </w:rPr>
      </w:pPr>
      <w:bookmarkStart w:id="25" w:name="_Hlk536709431"/>
      <w:r w:rsidRPr="00AE02C5">
        <w:rPr>
          <w:sz w:val="22"/>
          <w:lang w:val="nl-BE"/>
        </w:rPr>
        <w:t xml:space="preserve">Het </w:t>
      </w:r>
      <w:r w:rsidR="00B7271C" w:rsidRPr="00AE02C5">
        <w:rPr>
          <w:sz w:val="22"/>
          <w:lang w:val="nl-BE"/>
        </w:rPr>
        <w:t xml:space="preserve">derde </w:t>
      </w:r>
      <w:r w:rsidRPr="00AE02C5">
        <w:rPr>
          <w:sz w:val="22"/>
          <w:lang w:val="nl-BE"/>
        </w:rPr>
        <w:t xml:space="preserve">Aanvullend Protocol </w:t>
      </w:r>
      <w:bookmarkEnd w:id="25"/>
      <w:r w:rsidRPr="00AE02C5">
        <w:rPr>
          <w:sz w:val="22"/>
          <w:lang w:val="nl-BE"/>
        </w:rPr>
        <w:t>van</w:t>
      </w:r>
      <w:r w:rsidR="00FE713F" w:rsidRPr="00AE02C5">
        <w:rPr>
          <w:sz w:val="22"/>
          <w:lang w:val="nl-BE"/>
        </w:rPr>
        <w:t xml:space="preserve"> 2005</w:t>
      </w:r>
      <w:r w:rsidR="00241932" w:rsidRPr="00AE02C5">
        <w:rPr>
          <w:sz w:val="22"/>
          <w:lang w:val="nl-BE"/>
        </w:rPr>
        <w:t xml:space="preserve"> bij de </w:t>
      </w:r>
      <w:r w:rsidR="00AD614D" w:rsidRPr="00AE02C5">
        <w:rPr>
          <w:sz w:val="22"/>
          <w:lang w:val="nl-BE"/>
        </w:rPr>
        <w:t>Verdragen</w:t>
      </w:r>
      <w:r w:rsidR="00241932" w:rsidRPr="00AE02C5">
        <w:rPr>
          <w:sz w:val="22"/>
          <w:lang w:val="nl-BE"/>
        </w:rPr>
        <w:t xml:space="preserve"> van </w:t>
      </w:r>
      <w:r w:rsidR="00FE713F" w:rsidRPr="00AE02C5">
        <w:rPr>
          <w:sz w:val="22"/>
          <w:lang w:val="nl-BE"/>
        </w:rPr>
        <w:t>Genève</w:t>
      </w:r>
      <w:r w:rsidR="00241932" w:rsidRPr="00AE02C5">
        <w:rPr>
          <w:sz w:val="22"/>
          <w:lang w:val="nl-BE"/>
        </w:rPr>
        <w:t xml:space="preserve"> werd goedgekeurd </w:t>
      </w:r>
      <w:r w:rsidR="0058186B" w:rsidRPr="00AE02C5">
        <w:rPr>
          <w:sz w:val="22"/>
          <w:lang w:val="nl-BE"/>
        </w:rPr>
        <w:t>bij</w:t>
      </w:r>
      <w:r w:rsidR="00241932" w:rsidRPr="00AE02C5">
        <w:rPr>
          <w:sz w:val="22"/>
          <w:lang w:val="nl-BE"/>
        </w:rPr>
        <w:t xml:space="preserve"> de Belgische wet van 20 ap</w:t>
      </w:r>
      <w:r w:rsidR="00FE713F" w:rsidRPr="00AE02C5">
        <w:rPr>
          <w:sz w:val="22"/>
          <w:lang w:val="nl-BE"/>
        </w:rPr>
        <w:t>ril 2015 (</w:t>
      </w:r>
      <w:r w:rsidR="00241932" w:rsidRPr="00AE02C5">
        <w:rPr>
          <w:i/>
          <w:sz w:val="22"/>
          <w:lang w:val="nl-BE"/>
        </w:rPr>
        <w:t xml:space="preserve">Belgisch Staatsblad </w:t>
      </w:r>
      <w:r w:rsidR="00241932" w:rsidRPr="00AE02C5">
        <w:rPr>
          <w:sz w:val="22"/>
          <w:lang w:val="nl-BE"/>
        </w:rPr>
        <w:t xml:space="preserve">van </w:t>
      </w:r>
      <w:r w:rsidR="00FE713F" w:rsidRPr="00AE02C5">
        <w:rPr>
          <w:sz w:val="22"/>
          <w:lang w:val="nl-BE"/>
        </w:rPr>
        <w:t>23 septemb</w:t>
      </w:r>
      <w:r w:rsidR="00241932" w:rsidRPr="00AE02C5">
        <w:rPr>
          <w:sz w:val="22"/>
          <w:lang w:val="nl-BE"/>
        </w:rPr>
        <w:t>e</w:t>
      </w:r>
      <w:r w:rsidR="00FE713F" w:rsidRPr="00AE02C5">
        <w:rPr>
          <w:sz w:val="22"/>
          <w:lang w:val="nl-BE"/>
        </w:rPr>
        <w:t>r 2015).</w:t>
      </w:r>
      <w:r w:rsidR="00241932" w:rsidRPr="00AE02C5">
        <w:rPr>
          <w:sz w:val="22"/>
          <w:lang w:val="nl-BE"/>
        </w:rPr>
        <w:t xml:space="preserve"> Het ratificatie-instrument werd neergelegd op 12 mei</w:t>
      </w:r>
      <w:r w:rsidR="00FE713F" w:rsidRPr="00AE02C5">
        <w:rPr>
          <w:sz w:val="22"/>
          <w:lang w:val="nl-BE"/>
        </w:rPr>
        <w:t xml:space="preserve"> 2015.</w:t>
      </w:r>
      <w:r w:rsidR="00241932" w:rsidRPr="00AE02C5">
        <w:rPr>
          <w:sz w:val="22"/>
          <w:lang w:val="nl-BE"/>
        </w:rPr>
        <w:t xml:space="preserve"> Het </w:t>
      </w:r>
      <w:r w:rsidR="00FE713F" w:rsidRPr="00AE02C5">
        <w:rPr>
          <w:sz w:val="22"/>
          <w:lang w:val="nl-BE"/>
        </w:rPr>
        <w:t>Protocol</w:t>
      </w:r>
      <w:r w:rsidR="00241932" w:rsidRPr="00AE02C5">
        <w:rPr>
          <w:sz w:val="22"/>
          <w:lang w:val="nl-BE"/>
        </w:rPr>
        <w:t xml:space="preserve"> is op 12 november 2015 in werking getreden</w:t>
      </w:r>
      <w:r w:rsidR="004A274F" w:rsidRPr="00AE02C5">
        <w:rPr>
          <w:sz w:val="22"/>
          <w:lang w:val="nl-BE"/>
        </w:rPr>
        <w:t xml:space="preserve"> in België</w:t>
      </w:r>
      <w:r w:rsidR="00FE713F" w:rsidRPr="00AE02C5">
        <w:rPr>
          <w:sz w:val="22"/>
          <w:lang w:val="nl-BE"/>
        </w:rPr>
        <w:t>.</w:t>
      </w:r>
    </w:p>
    <w:p w14:paraId="6BD4494C" w14:textId="77777777" w:rsidR="00ED3396" w:rsidRPr="00AE02C5" w:rsidRDefault="00ED3396">
      <w:pPr>
        <w:pStyle w:val="Standaard1"/>
        <w:ind w:left="1418" w:hanging="708"/>
        <w:jc w:val="both"/>
        <w:rPr>
          <w:sz w:val="22"/>
          <w:lang w:val="nl-BE"/>
        </w:rPr>
      </w:pPr>
    </w:p>
    <w:p w14:paraId="4A0CE717" w14:textId="5BC4AE27" w:rsidR="00ED3396" w:rsidRPr="00AE02C5" w:rsidRDefault="00241932">
      <w:pPr>
        <w:pStyle w:val="Standaard1"/>
        <w:ind w:left="1418"/>
        <w:jc w:val="both"/>
        <w:rPr>
          <w:sz w:val="22"/>
          <w:lang w:val="nl-BE"/>
        </w:rPr>
      </w:pPr>
      <w:r w:rsidRPr="00AE02C5">
        <w:rPr>
          <w:sz w:val="22"/>
          <w:lang w:val="nl-BE"/>
        </w:rPr>
        <w:t>Opmerking</w:t>
      </w:r>
      <w:r w:rsidR="00ED3396" w:rsidRPr="00AE02C5">
        <w:rPr>
          <w:sz w:val="22"/>
          <w:lang w:val="nl-BE"/>
        </w:rPr>
        <w:t xml:space="preserve">: </w:t>
      </w:r>
      <w:r w:rsidRPr="00AE02C5">
        <w:rPr>
          <w:sz w:val="22"/>
          <w:lang w:val="nl-BE"/>
        </w:rPr>
        <w:t xml:space="preserve">alle teksten zijn in het </w:t>
      </w:r>
      <w:r w:rsidRPr="00AE02C5">
        <w:rPr>
          <w:i/>
          <w:sz w:val="22"/>
          <w:lang w:val="nl-BE"/>
        </w:rPr>
        <w:t>Belgisch Staatsblad</w:t>
      </w:r>
      <w:r w:rsidRPr="00AE02C5">
        <w:rPr>
          <w:sz w:val="22"/>
          <w:lang w:val="nl-BE"/>
        </w:rPr>
        <w:t xml:space="preserve"> gepubliceerd in de officiële Nederlandse en Franse versies. Tot op heden bestaat er </w:t>
      </w:r>
      <w:r w:rsidR="001F066C" w:rsidRPr="00AE02C5">
        <w:rPr>
          <w:sz w:val="22"/>
          <w:lang w:val="nl-BE"/>
        </w:rPr>
        <w:t xml:space="preserve">in België (nog) geen officiële Duitse tekst </w:t>
      </w:r>
      <w:r w:rsidRPr="00AE02C5">
        <w:rPr>
          <w:sz w:val="22"/>
          <w:lang w:val="nl-BE"/>
        </w:rPr>
        <w:t xml:space="preserve">van de </w:t>
      </w:r>
      <w:r w:rsidR="001F066C" w:rsidRPr="00AE02C5">
        <w:rPr>
          <w:sz w:val="22"/>
          <w:lang w:val="nl-BE"/>
        </w:rPr>
        <w:t>Verdragen</w:t>
      </w:r>
      <w:r w:rsidRPr="00AE02C5">
        <w:rPr>
          <w:sz w:val="22"/>
          <w:lang w:val="nl-BE"/>
        </w:rPr>
        <w:t xml:space="preserve"> van Genève en de Aanvullende Protocollen</w:t>
      </w:r>
      <w:r w:rsidR="00ED3396" w:rsidRPr="00AE02C5">
        <w:rPr>
          <w:sz w:val="22"/>
          <w:lang w:val="nl-BE"/>
        </w:rPr>
        <w:t>.</w:t>
      </w:r>
    </w:p>
    <w:p w14:paraId="6C0A3F49" w14:textId="77777777" w:rsidR="00ED3396" w:rsidRPr="00AE02C5" w:rsidRDefault="00ED3396">
      <w:pPr>
        <w:pStyle w:val="Standaard1"/>
        <w:ind w:left="708" w:hanging="708"/>
        <w:jc w:val="both"/>
        <w:rPr>
          <w:sz w:val="22"/>
          <w:lang w:val="nl-BE"/>
        </w:rPr>
      </w:pPr>
    </w:p>
    <w:p w14:paraId="602ABCDE" w14:textId="5DF45392" w:rsidR="00ED3396" w:rsidRPr="00AE02C5" w:rsidRDefault="00897B72" w:rsidP="00A53327">
      <w:pPr>
        <w:numPr>
          <w:ilvl w:val="1"/>
          <w:numId w:val="40"/>
        </w:numPr>
        <w:ind w:left="1416" w:hanging="708"/>
        <w:jc w:val="both"/>
        <w:rPr>
          <w:sz w:val="22"/>
          <w:lang w:val="nl-BE"/>
        </w:rPr>
      </w:pPr>
      <w:r w:rsidRPr="00AE02C5">
        <w:rPr>
          <w:sz w:val="22"/>
          <w:lang w:val="nl-BE"/>
        </w:rPr>
        <w:t>S</w:t>
      </w:r>
      <w:r w:rsidR="00D27094" w:rsidRPr="00AE02C5">
        <w:rPr>
          <w:sz w:val="22"/>
          <w:lang w:val="nl-BE"/>
        </w:rPr>
        <w:t>tudie van de nationale uitvoeringsmaatregelen</w:t>
      </w:r>
      <w:r w:rsidR="004960E3" w:rsidRPr="00AE02C5">
        <w:rPr>
          <w:sz w:val="22"/>
          <w:lang w:val="nl-BE"/>
        </w:rPr>
        <w:t>:</w:t>
      </w:r>
      <w:r w:rsidR="00D27094" w:rsidRPr="00AE02C5">
        <w:rPr>
          <w:sz w:val="22"/>
          <w:lang w:val="nl-BE"/>
        </w:rPr>
        <w:t xml:space="preserve"> </w:t>
      </w:r>
      <w:r w:rsidR="000C3705" w:rsidRPr="00AE02C5">
        <w:rPr>
          <w:sz w:val="22"/>
          <w:lang w:val="nl-BE"/>
        </w:rPr>
        <w:t>d</w:t>
      </w:r>
      <w:r w:rsidR="00D27094" w:rsidRPr="00AE02C5">
        <w:rPr>
          <w:sz w:val="22"/>
          <w:lang w:val="nl-BE"/>
        </w:rPr>
        <w:t>e Inter</w:t>
      </w:r>
      <w:r w:rsidR="001F066C" w:rsidRPr="00AE02C5">
        <w:rPr>
          <w:sz w:val="22"/>
          <w:lang w:val="nl-BE"/>
        </w:rPr>
        <w:t xml:space="preserve">ministeriële </w:t>
      </w:r>
      <w:r w:rsidR="00D27094" w:rsidRPr="00AE02C5">
        <w:rPr>
          <w:sz w:val="22"/>
          <w:lang w:val="nl-BE"/>
        </w:rPr>
        <w:t>Commissie voor Humanitair Recht</w:t>
      </w:r>
      <w:r w:rsidR="004960E3" w:rsidRPr="00AE02C5">
        <w:rPr>
          <w:sz w:val="22"/>
          <w:lang w:val="nl-BE"/>
        </w:rPr>
        <w:t xml:space="preserve"> </w:t>
      </w:r>
      <w:r w:rsidR="001F066C" w:rsidRPr="00AE02C5">
        <w:rPr>
          <w:sz w:val="22"/>
          <w:lang w:val="nl-BE"/>
        </w:rPr>
        <w:t>(ICHR)</w:t>
      </w:r>
    </w:p>
    <w:p w14:paraId="27ECF538" w14:textId="4156A498" w:rsidR="009C6B1C" w:rsidRPr="00AE02C5" w:rsidRDefault="009C6B1C">
      <w:pPr>
        <w:pStyle w:val="Standaard1"/>
        <w:ind w:left="1416"/>
        <w:jc w:val="both"/>
        <w:rPr>
          <w:sz w:val="22"/>
          <w:lang w:val="nl-BE"/>
        </w:rPr>
      </w:pPr>
    </w:p>
    <w:p w14:paraId="2B12A099" w14:textId="77777777" w:rsidR="009C6B1C" w:rsidRPr="00AE02C5" w:rsidRDefault="009C6B1C">
      <w:pPr>
        <w:pStyle w:val="Standaard1"/>
        <w:ind w:left="1416"/>
        <w:jc w:val="both"/>
        <w:rPr>
          <w:sz w:val="22"/>
          <w:lang w:val="nl-BE"/>
        </w:rPr>
      </w:pPr>
    </w:p>
    <w:p w14:paraId="34389C04" w14:textId="4AF8BCFF" w:rsidR="00850389" w:rsidRPr="00AE02C5" w:rsidRDefault="00D27094" w:rsidP="009D1846">
      <w:pPr>
        <w:pStyle w:val="Standaard1"/>
        <w:numPr>
          <w:ilvl w:val="0"/>
          <w:numId w:val="34"/>
        </w:numPr>
        <w:jc w:val="both"/>
        <w:rPr>
          <w:b/>
          <w:sz w:val="22"/>
          <w:lang w:val="nl-BE"/>
        </w:rPr>
      </w:pPr>
      <w:r w:rsidRPr="00AE02C5">
        <w:rPr>
          <w:b/>
          <w:sz w:val="22"/>
          <w:lang w:val="nl-BE"/>
        </w:rPr>
        <w:t>De ICHR</w:t>
      </w:r>
      <w:r w:rsidR="00850389" w:rsidRPr="00AE02C5">
        <w:rPr>
          <w:b/>
          <w:sz w:val="22"/>
          <w:lang w:val="nl-BE"/>
        </w:rPr>
        <w:t xml:space="preserve">: </w:t>
      </w:r>
      <w:r w:rsidRPr="00AE02C5">
        <w:rPr>
          <w:b/>
          <w:sz w:val="22"/>
          <w:lang w:val="nl-BE"/>
        </w:rPr>
        <w:t>Oprichting</w:t>
      </w:r>
      <w:r w:rsidR="009D1846" w:rsidRPr="00AE02C5">
        <w:rPr>
          <w:b/>
          <w:sz w:val="22"/>
          <w:lang w:val="nl-BE"/>
        </w:rPr>
        <w:t>,</w:t>
      </w:r>
      <w:r w:rsidRPr="00AE02C5">
        <w:rPr>
          <w:b/>
          <w:sz w:val="22"/>
          <w:lang w:val="nl-BE"/>
        </w:rPr>
        <w:t xml:space="preserve"> samenstelling, werking en mandaat</w:t>
      </w:r>
    </w:p>
    <w:p w14:paraId="272CF5DB" w14:textId="682E24B6" w:rsidR="006D2439" w:rsidRPr="00AE02C5" w:rsidRDefault="006D2439" w:rsidP="00232390">
      <w:pPr>
        <w:pStyle w:val="Standaard1"/>
        <w:jc w:val="both"/>
        <w:rPr>
          <w:sz w:val="22"/>
          <w:lang w:val="nl-BE"/>
        </w:rPr>
      </w:pPr>
    </w:p>
    <w:p w14:paraId="698CC442" w14:textId="66907BD8" w:rsidR="006D2439" w:rsidRPr="00AE02C5" w:rsidRDefault="00D27094" w:rsidP="00232390">
      <w:pPr>
        <w:pStyle w:val="Standaard1"/>
        <w:numPr>
          <w:ilvl w:val="0"/>
          <w:numId w:val="38"/>
        </w:numPr>
        <w:jc w:val="both"/>
        <w:rPr>
          <w:i/>
          <w:sz w:val="22"/>
          <w:lang w:val="nl-BE"/>
        </w:rPr>
      </w:pPr>
      <w:r w:rsidRPr="00AE02C5">
        <w:rPr>
          <w:i/>
          <w:sz w:val="22"/>
          <w:lang w:val="nl-BE"/>
        </w:rPr>
        <w:t>Oprichting</w:t>
      </w:r>
    </w:p>
    <w:p w14:paraId="4F237398" w14:textId="77777777" w:rsidR="00F85B9B" w:rsidRPr="00AE02C5" w:rsidRDefault="00F85B9B">
      <w:pPr>
        <w:pStyle w:val="Standaard1"/>
        <w:ind w:left="1416"/>
        <w:jc w:val="both"/>
        <w:rPr>
          <w:sz w:val="22"/>
          <w:lang w:val="nl-BE"/>
        </w:rPr>
      </w:pPr>
    </w:p>
    <w:p w14:paraId="7AC61D57" w14:textId="77A55AB7" w:rsidR="00ED3396" w:rsidRPr="00AE02C5" w:rsidRDefault="00DE5EA2">
      <w:pPr>
        <w:pStyle w:val="Standaard1"/>
        <w:ind w:left="1416"/>
        <w:jc w:val="both"/>
        <w:rPr>
          <w:sz w:val="22"/>
          <w:lang w:val="nl-BE"/>
        </w:rPr>
      </w:pPr>
      <w:r w:rsidRPr="00AE02C5">
        <w:rPr>
          <w:sz w:val="22"/>
          <w:lang w:val="nl-BE"/>
        </w:rPr>
        <w:t>Op 27 en 28 november 1986, k</w:t>
      </w:r>
      <w:r w:rsidR="001F066C" w:rsidRPr="00AE02C5">
        <w:rPr>
          <w:sz w:val="22"/>
          <w:lang w:val="nl-BE"/>
        </w:rPr>
        <w:t>ort</w:t>
      </w:r>
      <w:r w:rsidR="00D63FFB" w:rsidRPr="00AE02C5">
        <w:rPr>
          <w:sz w:val="22"/>
          <w:lang w:val="nl-BE"/>
        </w:rPr>
        <w:t xml:space="preserve"> nadat de Aanvullende Protocollen in werking zijn getreden, heeft het Belgische Rode Kruis</w:t>
      </w:r>
      <w:r w:rsidRPr="00AE02C5">
        <w:rPr>
          <w:sz w:val="22"/>
          <w:lang w:val="nl-BE"/>
        </w:rPr>
        <w:t xml:space="preserve"> </w:t>
      </w:r>
      <w:r w:rsidR="00D63FFB" w:rsidRPr="00AE02C5">
        <w:rPr>
          <w:sz w:val="22"/>
          <w:lang w:val="nl-BE"/>
        </w:rPr>
        <w:t xml:space="preserve">een symposium georganiseerd </w:t>
      </w:r>
      <w:r w:rsidRPr="00AE02C5">
        <w:rPr>
          <w:sz w:val="22"/>
          <w:lang w:val="nl-BE"/>
        </w:rPr>
        <w:t>om</w:t>
      </w:r>
      <w:r w:rsidR="00D63FFB" w:rsidRPr="00AE02C5">
        <w:rPr>
          <w:sz w:val="22"/>
          <w:lang w:val="nl-BE"/>
        </w:rPr>
        <w:t xml:space="preserve"> de </w:t>
      </w:r>
      <w:r w:rsidR="00F6629F" w:rsidRPr="00AE02C5">
        <w:rPr>
          <w:sz w:val="22"/>
          <w:lang w:val="nl-BE"/>
        </w:rPr>
        <w:t>uitvoering</w:t>
      </w:r>
      <w:r w:rsidR="00D63FFB" w:rsidRPr="00AE02C5">
        <w:rPr>
          <w:sz w:val="22"/>
          <w:lang w:val="nl-BE"/>
        </w:rPr>
        <w:t xml:space="preserve"> van deze nieuwe regels van internationaal humanitair recht te bestuderen. De handelingen van dit symposium zijn gepubliceerd in het </w:t>
      </w:r>
      <w:r w:rsidR="00D63FFB" w:rsidRPr="00AE02C5">
        <w:rPr>
          <w:i/>
          <w:sz w:val="22"/>
          <w:lang w:val="nl-BE"/>
        </w:rPr>
        <w:t>Tijdschrift voor militair strafrecht en</w:t>
      </w:r>
      <w:r w:rsidR="00D63FFB" w:rsidRPr="00AE02C5">
        <w:rPr>
          <w:sz w:val="22"/>
          <w:lang w:val="nl-BE"/>
        </w:rPr>
        <w:t xml:space="preserve"> </w:t>
      </w:r>
      <w:r w:rsidR="00D63FFB" w:rsidRPr="00AE02C5">
        <w:rPr>
          <w:i/>
          <w:sz w:val="22"/>
          <w:lang w:val="nl-BE"/>
        </w:rPr>
        <w:t>oorlogsrecht</w:t>
      </w:r>
      <w:r w:rsidR="00D63FFB" w:rsidRPr="00AE02C5">
        <w:rPr>
          <w:sz w:val="22"/>
          <w:lang w:val="nl-BE"/>
        </w:rPr>
        <w:t>, 1988, pp. 195-366</w:t>
      </w:r>
      <w:r w:rsidR="00ED3396" w:rsidRPr="00AE02C5">
        <w:rPr>
          <w:sz w:val="22"/>
          <w:lang w:val="nl-BE"/>
        </w:rPr>
        <w:t>.</w:t>
      </w:r>
    </w:p>
    <w:p w14:paraId="1D609548" w14:textId="77777777" w:rsidR="00ED3396" w:rsidRPr="00AE02C5" w:rsidRDefault="00ED3396">
      <w:pPr>
        <w:pStyle w:val="Standaard1"/>
        <w:ind w:left="1416" w:hanging="708"/>
        <w:jc w:val="both"/>
        <w:rPr>
          <w:sz w:val="22"/>
          <w:lang w:val="nl-BE"/>
        </w:rPr>
      </w:pPr>
    </w:p>
    <w:p w14:paraId="1D4BBC9B" w14:textId="0431BBCE" w:rsidR="00ED3396" w:rsidRPr="00AE02C5" w:rsidRDefault="00F95498">
      <w:pPr>
        <w:pStyle w:val="Standaard1"/>
        <w:ind w:left="1416"/>
        <w:jc w:val="both"/>
        <w:rPr>
          <w:sz w:val="22"/>
          <w:lang w:val="nl-BE"/>
        </w:rPr>
      </w:pPr>
      <w:r w:rsidRPr="00AE02C5">
        <w:rPr>
          <w:sz w:val="22"/>
          <w:lang w:val="nl-BE"/>
        </w:rPr>
        <w:t xml:space="preserve">Tijdens dit symposium werd met name beklemtoond dat de taak </w:t>
      </w:r>
      <w:r w:rsidR="00F6629F" w:rsidRPr="00AE02C5">
        <w:rPr>
          <w:sz w:val="22"/>
          <w:lang w:val="nl-BE"/>
        </w:rPr>
        <w:t>om dit recht uit te voeren</w:t>
      </w:r>
      <w:r w:rsidRPr="00AE02C5">
        <w:rPr>
          <w:sz w:val="22"/>
          <w:lang w:val="nl-BE"/>
        </w:rPr>
        <w:t xml:space="preserve"> niet doeltreffend </w:t>
      </w:r>
      <w:r w:rsidR="00B85090" w:rsidRPr="00AE02C5">
        <w:rPr>
          <w:sz w:val="22"/>
          <w:lang w:val="nl-BE"/>
        </w:rPr>
        <w:t>leek</w:t>
      </w:r>
      <w:r w:rsidRPr="00AE02C5">
        <w:rPr>
          <w:sz w:val="22"/>
          <w:lang w:val="nl-BE"/>
        </w:rPr>
        <w:t xml:space="preserve"> te kunnen worden </w:t>
      </w:r>
      <w:r w:rsidR="00F6629F" w:rsidRPr="00AE02C5">
        <w:rPr>
          <w:sz w:val="22"/>
          <w:lang w:val="nl-BE"/>
        </w:rPr>
        <w:t>vervuld</w:t>
      </w:r>
      <w:r w:rsidR="00B85090" w:rsidRPr="00AE02C5">
        <w:rPr>
          <w:sz w:val="22"/>
          <w:lang w:val="nl-BE"/>
        </w:rPr>
        <w:t xml:space="preserve"> zonder </w:t>
      </w:r>
      <w:r w:rsidRPr="00AE02C5">
        <w:rPr>
          <w:sz w:val="22"/>
          <w:lang w:val="nl-BE"/>
        </w:rPr>
        <w:t>coördinatie in een vast orgaan waarin, naargelang te bepalen modaliteiten, de betrokken gouvernementele diensten en niet-gouvernementele instellingen, meer bepaald de Nationale Vereniging van het Rode Kruis, zouden zetelen</w:t>
      </w:r>
      <w:r w:rsidR="00ED3396" w:rsidRPr="00AE02C5">
        <w:rPr>
          <w:sz w:val="22"/>
          <w:lang w:val="nl-BE"/>
        </w:rPr>
        <w:t>.</w:t>
      </w:r>
    </w:p>
    <w:p w14:paraId="7D8F4ACA" w14:textId="77777777" w:rsidR="00ED3396" w:rsidRPr="00AE02C5" w:rsidRDefault="00ED3396">
      <w:pPr>
        <w:pStyle w:val="Standaard1"/>
        <w:ind w:left="1416"/>
        <w:jc w:val="both"/>
        <w:rPr>
          <w:sz w:val="22"/>
          <w:lang w:val="nl-BE"/>
        </w:rPr>
      </w:pPr>
    </w:p>
    <w:p w14:paraId="7D352855" w14:textId="21EDE2D2" w:rsidR="00ED3396" w:rsidRPr="00AE02C5" w:rsidRDefault="00F95498">
      <w:pPr>
        <w:pStyle w:val="Standaard1"/>
        <w:ind w:left="1416"/>
        <w:jc w:val="both"/>
        <w:rPr>
          <w:sz w:val="22"/>
          <w:lang w:val="nl-BE"/>
        </w:rPr>
      </w:pPr>
      <w:r w:rsidRPr="00AE02C5">
        <w:rPr>
          <w:sz w:val="22"/>
          <w:lang w:val="nl-BE"/>
        </w:rPr>
        <w:t>Een van de belangrijkste resultaten van het symposium van n</w:t>
      </w:r>
      <w:r w:rsidR="00B85090" w:rsidRPr="00AE02C5">
        <w:rPr>
          <w:sz w:val="22"/>
          <w:lang w:val="nl-BE"/>
        </w:rPr>
        <w:t xml:space="preserve">ovember 1986 was de oprichting, </w:t>
      </w:r>
      <w:r w:rsidRPr="00AE02C5">
        <w:rPr>
          <w:sz w:val="22"/>
          <w:lang w:val="nl-BE"/>
        </w:rPr>
        <w:t>bij beslissing van de Ministerraad van 20 februari 1987, van de Interdepartementale Commissie voor Humanitair Recht (ICHR). Sinds de reorganisatie van de ICHR bij het koninklijk besluit van 6 december 2000</w:t>
      </w:r>
      <w:r w:rsidR="00F6629F" w:rsidRPr="00AE02C5">
        <w:rPr>
          <w:sz w:val="22"/>
          <w:lang w:val="nl-BE"/>
        </w:rPr>
        <w:t xml:space="preserve">, gepubliceerd in het </w:t>
      </w:r>
      <w:r w:rsidR="00F6629F" w:rsidRPr="00AE02C5">
        <w:rPr>
          <w:i/>
          <w:sz w:val="22"/>
          <w:lang w:val="nl-BE"/>
        </w:rPr>
        <w:t xml:space="preserve">Belgisch Staatsblad </w:t>
      </w:r>
      <w:r w:rsidR="00F6629F" w:rsidRPr="00AE02C5">
        <w:rPr>
          <w:sz w:val="22"/>
          <w:lang w:val="nl-BE"/>
        </w:rPr>
        <w:t>van 12 december 2000,</w:t>
      </w:r>
      <w:r w:rsidRPr="00AE02C5">
        <w:rPr>
          <w:sz w:val="22"/>
          <w:lang w:val="nl-BE"/>
        </w:rPr>
        <w:t xml:space="preserve"> wordt deze</w:t>
      </w:r>
      <w:r w:rsidR="00F6629F" w:rsidRPr="00AE02C5">
        <w:rPr>
          <w:sz w:val="22"/>
          <w:lang w:val="nl-BE"/>
        </w:rPr>
        <w:t xml:space="preserve"> commissie</w:t>
      </w:r>
      <w:r w:rsidRPr="00AE02C5">
        <w:rPr>
          <w:sz w:val="22"/>
          <w:lang w:val="nl-BE"/>
        </w:rPr>
        <w:t xml:space="preserve"> “Interministeriële Commissie voor Humanitair Recht” genoemd</w:t>
      </w:r>
      <w:r w:rsidR="00ED3396" w:rsidRPr="00AE02C5">
        <w:rPr>
          <w:sz w:val="22"/>
          <w:lang w:val="nl-BE"/>
        </w:rPr>
        <w:t>.</w:t>
      </w:r>
    </w:p>
    <w:p w14:paraId="40CD105F" w14:textId="275EC7AA" w:rsidR="00F81E26" w:rsidRPr="00AE02C5" w:rsidRDefault="00F81E26">
      <w:pPr>
        <w:pStyle w:val="Standaard1"/>
        <w:ind w:left="1416"/>
        <w:jc w:val="both"/>
        <w:rPr>
          <w:sz w:val="22"/>
          <w:lang w:val="nl-BE"/>
        </w:rPr>
      </w:pPr>
    </w:p>
    <w:p w14:paraId="123B9C58" w14:textId="20D2A629" w:rsidR="005B2861" w:rsidRPr="00AE02C5" w:rsidRDefault="005B2861" w:rsidP="005B2861">
      <w:pPr>
        <w:pStyle w:val="Standaard1"/>
        <w:numPr>
          <w:ilvl w:val="0"/>
          <w:numId w:val="38"/>
        </w:numPr>
        <w:jc w:val="both"/>
        <w:rPr>
          <w:i/>
          <w:sz w:val="22"/>
          <w:lang w:val="nl-BE"/>
        </w:rPr>
      </w:pPr>
      <w:r w:rsidRPr="00AE02C5">
        <w:rPr>
          <w:i/>
          <w:sz w:val="22"/>
          <w:lang w:val="nl-BE"/>
        </w:rPr>
        <w:t>Manda</w:t>
      </w:r>
      <w:r w:rsidR="00F95498" w:rsidRPr="00AE02C5">
        <w:rPr>
          <w:i/>
          <w:sz w:val="22"/>
          <w:lang w:val="nl-BE"/>
        </w:rPr>
        <w:t>a</w:t>
      </w:r>
      <w:r w:rsidRPr="00AE02C5">
        <w:rPr>
          <w:i/>
          <w:sz w:val="22"/>
          <w:lang w:val="nl-BE"/>
        </w:rPr>
        <w:t xml:space="preserve">t </w:t>
      </w:r>
    </w:p>
    <w:p w14:paraId="13E99392" w14:textId="77777777" w:rsidR="005B2861" w:rsidRPr="00AE02C5" w:rsidRDefault="005B2861" w:rsidP="005B2861">
      <w:pPr>
        <w:pStyle w:val="Standaard1"/>
        <w:ind w:left="1416" w:firstLine="24"/>
        <w:jc w:val="both"/>
        <w:rPr>
          <w:sz w:val="22"/>
          <w:lang w:val="nl-BE"/>
        </w:rPr>
      </w:pPr>
    </w:p>
    <w:p w14:paraId="02CEF2FA" w14:textId="3BE59CFB" w:rsidR="005B2861" w:rsidRPr="00AE02C5" w:rsidRDefault="00F95498" w:rsidP="005B2861">
      <w:pPr>
        <w:pStyle w:val="Standaard1"/>
        <w:ind w:left="1416" w:firstLine="24"/>
        <w:jc w:val="both"/>
        <w:rPr>
          <w:sz w:val="22"/>
          <w:lang w:val="nl-BE"/>
        </w:rPr>
      </w:pPr>
      <w:r w:rsidRPr="00AE02C5">
        <w:rPr>
          <w:sz w:val="22"/>
          <w:lang w:val="nl-BE"/>
        </w:rPr>
        <w:t>De</w:t>
      </w:r>
      <w:r w:rsidR="007E386F" w:rsidRPr="00AE02C5">
        <w:rPr>
          <w:sz w:val="22"/>
          <w:lang w:val="nl-BE"/>
        </w:rPr>
        <w:t xml:space="preserve"> opdracht van de</w:t>
      </w:r>
      <w:r w:rsidRPr="00AE02C5">
        <w:rPr>
          <w:sz w:val="22"/>
          <w:lang w:val="nl-BE"/>
        </w:rPr>
        <w:t xml:space="preserve"> ICHR </w:t>
      </w:r>
      <w:r w:rsidR="007E386F" w:rsidRPr="00AE02C5">
        <w:rPr>
          <w:sz w:val="22"/>
          <w:lang w:val="nl-BE"/>
        </w:rPr>
        <w:t>bestaat erin</w:t>
      </w:r>
      <w:r w:rsidR="005B2861" w:rsidRPr="00AE02C5">
        <w:rPr>
          <w:sz w:val="22"/>
          <w:lang w:val="nl-BE"/>
        </w:rPr>
        <w:t>:</w:t>
      </w:r>
    </w:p>
    <w:p w14:paraId="584C175E" w14:textId="77777777" w:rsidR="005B2861" w:rsidRPr="00AE02C5" w:rsidRDefault="005B2861" w:rsidP="005B2861">
      <w:pPr>
        <w:pStyle w:val="Standaard1"/>
        <w:ind w:left="1416" w:firstLine="24"/>
        <w:jc w:val="both"/>
        <w:rPr>
          <w:sz w:val="22"/>
          <w:lang w:val="nl-BE"/>
        </w:rPr>
      </w:pPr>
    </w:p>
    <w:p w14:paraId="7A2953FA" w14:textId="65E1526D" w:rsidR="005B2861" w:rsidRPr="00AE02C5" w:rsidRDefault="005B2861" w:rsidP="005B2861">
      <w:pPr>
        <w:pStyle w:val="Standaard1"/>
        <w:ind w:left="2160" w:hanging="720"/>
        <w:jc w:val="both"/>
        <w:rPr>
          <w:sz w:val="22"/>
          <w:lang w:val="nl-BE"/>
        </w:rPr>
      </w:pPr>
      <w:r w:rsidRPr="00AE02C5">
        <w:rPr>
          <w:sz w:val="22"/>
          <w:lang w:val="nl-BE"/>
        </w:rPr>
        <w:t>•</w:t>
      </w:r>
      <w:r w:rsidRPr="00AE02C5">
        <w:rPr>
          <w:sz w:val="22"/>
          <w:lang w:val="nl-BE"/>
        </w:rPr>
        <w:tab/>
      </w:r>
      <w:r w:rsidR="007E386F" w:rsidRPr="00AE02C5">
        <w:rPr>
          <w:sz w:val="22"/>
          <w:lang w:val="nl-BE"/>
        </w:rPr>
        <w:t xml:space="preserve">vast te stellen en te onderzoeken welke nationale uitvoeringsmaatregelen nodig zijn voor de uitvoering van de regels </w:t>
      </w:r>
      <w:r w:rsidR="0063579F" w:rsidRPr="00AE02C5">
        <w:rPr>
          <w:sz w:val="22"/>
          <w:lang w:val="nl-BE"/>
        </w:rPr>
        <w:t xml:space="preserve">van het internationaal humanitair recht, de betrokken federale </w:t>
      </w:r>
      <w:r w:rsidR="00897B72" w:rsidRPr="00AE02C5">
        <w:rPr>
          <w:sz w:val="22"/>
          <w:lang w:val="nl-BE"/>
        </w:rPr>
        <w:t>m</w:t>
      </w:r>
      <w:r w:rsidR="0063579F" w:rsidRPr="00AE02C5">
        <w:rPr>
          <w:sz w:val="22"/>
          <w:lang w:val="nl-BE"/>
        </w:rPr>
        <w:t xml:space="preserve">inisters erover in te lichten en hun ter zake voorstellen te doen; </w:t>
      </w:r>
    </w:p>
    <w:p w14:paraId="1E87A511" w14:textId="77777777" w:rsidR="005B2861" w:rsidRPr="00AE02C5" w:rsidRDefault="005B2861" w:rsidP="005B2861">
      <w:pPr>
        <w:pStyle w:val="Standaard1"/>
        <w:ind w:left="1416" w:firstLine="24"/>
        <w:jc w:val="both"/>
        <w:rPr>
          <w:sz w:val="22"/>
          <w:lang w:val="nl-BE"/>
        </w:rPr>
      </w:pPr>
    </w:p>
    <w:p w14:paraId="7051CF2D" w14:textId="00536ABC" w:rsidR="005B2861" w:rsidRPr="00AE02C5" w:rsidRDefault="00AE133E" w:rsidP="005B2861">
      <w:pPr>
        <w:pStyle w:val="Standaard1"/>
        <w:ind w:left="1416" w:firstLine="24"/>
        <w:jc w:val="both"/>
        <w:rPr>
          <w:sz w:val="22"/>
          <w:lang w:val="nl-BE"/>
        </w:rPr>
      </w:pPr>
      <w:r w:rsidRPr="00AE02C5">
        <w:rPr>
          <w:sz w:val="22"/>
          <w:lang w:val="nl-BE"/>
        </w:rPr>
        <w:t xml:space="preserve">Voor elk domein </w:t>
      </w:r>
      <w:r w:rsidR="00897B72" w:rsidRPr="00AE02C5">
        <w:rPr>
          <w:sz w:val="22"/>
          <w:lang w:val="nl-BE"/>
        </w:rPr>
        <w:t xml:space="preserve">dat </w:t>
      </w:r>
      <w:r w:rsidRPr="00AE02C5">
        <w:rPr>
          <w:sz w:val="22"/>
          <w:lang w:val="nl-BE"/>
        </w:rPr>
        <w:t xml:space="preserve">uitvoeringsmaatregelen vereist, werden de verschillende betrokken ministeriële </w:t>
      </w:r>
      <w:r w:rsidR="00897B72" w:rsidRPr="00AE02C5">
        <w:rPr>
          <w:sz w:val="22"/>
          <w:lang w:val="nl-BE"/>
        </w:rPr>
        <w:t>d</w:t>
      </w:r>
      <w:r w:rsidRPr="00AE02C5">
        <w:rPr>
          <w:sz w:val="22"/>
          <w:lang w:val="nl-BE"/>
        </w:rPr>
        <w:t>epartementen geïdentificeerd</w:t>
      </w:r>
      <w:r w:rsidR="00610B65" w:rsidRPr="00AE02C5">
        <w:rPr>
          <w:sz w:val="22"/>
          <w:lang w:val="nl-BE"/>
        </w:rPr>
        <w:t xml:space="preserve">, waaronder </w:t>
      </w:r>
      <w:r w:rsidRPr="00AE02C5">
        <w:rPr>
          <w:sz w:val="22"/>
          <w:lang w:val="nl-BE"/>
        </w:rPr>
        <w:t xml:space="preserve">het Pilootdepartement. Dit </w:t>
      </w:r>
      <w:r w:rsidR="00897B72" w:rsidRPr="00AE02C5">
        <w:rPr>
          <w:sz w:val="22"/>
          <w:lang w:val="nl-BE"/>
        </w:rPr>
        <w:t>d</w:t>
      </w:r>
      <w:r w:rsidRPr="00AE02C5">
        <w:rPr>
          <w:sz w:val="22"/>
          <w:lang w:val="nl-BE"/>
        </w:rPr>
        <w:t xml:space="preserve">epartement is ermee belast </w:t>
      </w:r>
      <w:r w:rsidR="000C3705" w:rsidRPr="00AE02C5">
        <w:rPr>
          <w:sz w:val="22"/>
          <w:lang w:val="nl-BE"/>
        </w:rPr>
        <w:t xml:space="preserve">juridische of praktische </w:t>
      </w:r>
      <w:r w:rsidRPr="00AE02C5">
        <w:rPr>
          <w:sz w:val="22"/>
          <w:lang w:val="nl-BE"/>
        </w:rPr>
        <w:t xml:space="preserve">maatregelen </w:t>
      </w:r>
      <w:r w:rsidR="000C3705" w:rsidRPr="00AE02C5">
        <w:rPr>
          <w:sz w:val="22"/>
          <w:lang w:val="nl-BE"/>
        </w:rPr>
        <w:t>voor te stellen</w:t>
      </w:r>
      <w:r w:rsidRPr="00AE02C5">
        <w:rPr>
          <w:sz w:val="22"/>
          <w:lang w:val="nl-BE"/>
        </w:rPr>
        <w:t xml:space="preserve"> die op nationaal vlak moeten worden genomen. Daartoe roept het, </w:t>
      </w:r>
      <w:r w:rsidR="00897B72" w:rsidRPr="00AE02C5">
        <w:rPr>
          <w:sz w:val="22"/>
          <w:lang w:val="nl-BE"/>
        </w:rPr>
        <w:t>zo nodig</w:t>
      </w:r>
      <w:r w:rsidRPr="00AE02C5">
        <w:rPr>
          <w:sz w:val="22"/>
          <w:lang w:val="nl-BE"/>
        </w:rPr>
        <w:t xml:space="preserve">, de vertegenwoordigers van de verschillende betrokken </w:t>
      </w:r>
      <w:r w:rsidR="00897B72" w:rsidRPr="00AE02C5">
        <w:rPr>
          <w:sz w:val="22"/>
          <w:lang w:val="nl-BE"/>
        </w:rPr>
        <w:t>d</w:t>
      </w:r>
      <w:r w:rsidRPr="00AE02C5">
        <w:rPr>
          <w:sz w:val="22"/>
          <w:lang w:val="nl-BE"/>
        </w:rPr>
        <w:t xml:space="preserve">epartementen </w:t>
      </w:r>
      <w:r w:rsidR="00897B72" w:rsidRPr="00AE02C5">
        <w:rPr>
          <w:sz w:val="22"/>
          <w:lang w:val="nl-BE"/>
        </w:rPr>
        <w:t>bijeen</w:t>
      </w:r>
      <w:r w:rsidRPr="00AE02C5">
        <w:rPr>
          <w:sz w:val="22"/>
          <w:lang w:val="nl-BE"/>
        </w:rPr>
        <w:t xml:space="preserve"> en, </w:t>
      </w:r>
      <w:r w:rsidR="00897B72" w:rsidRPr="00AE02C5">
        <w:rPr>
          <w:sz w:val="22"/>
          <w:lang w:val="nl-BE"/>
        </w:rPr>
        <w:t>in voorkomend geval</w:t>
      </w:r>
      <w:r w:rsidRPr="00AE02C5">
        <w:rPr>
          <w:sz w:val="22"/>
          <w:lang w:val="nl-BE"/>
        </w:rPr>
        <w:t xml:space="preserve">, </w:t>
      </w:r>
      <w:r w:rsidR="00B85090" w:rsidRPr="00AE02C5">
        <w:rPr>
          <w:sz w:val="22"/>
          <w:lang w:val="nl-BE"/>
        </w:rPr>
        <w:t>de</w:t>
      </w:r>
      <w:r w:rsidR="00897B72" w:rsidRPr="00AE02C5">
        <w:rPr>
          <w:sz w:val="22"/>
          <w:lang w:val="nl-BE"/>
        </w:rPr>
        <w:t xml:space="preserve"> te raadplegen</w:t>
      </w:r>
      <w:r w:rsidR="00B85090" w:rsidRPr="00AE02C5">
        <w:rPr>
          <w:sz w:val="22"/>
          <w:lang w:val="nl-BE"/>
        </w:rPr>
        <w:t xml:space="preserve"> </w:t>
      </w:r>
      <w:r w:rsidRPr="00AE02C5">
        <w:rPr>
          <w:sz w:val="22"/>
          <w:lang w:val="nl-BE"/>
        </w:rPr>
        <w:t>deskundigen en andere specialisten</w:t>
      </w:r>
      <w:r w:rsidR="005B2861" w:rsidRPr="00AE02C5">
        <w:rPr>
          <w:sz w:val="22"/>
          <w:lang w:val="nl-BE"/>
        </w:rPr>
        <w:t>.</w:t>
      </w:r>
    </w:p>
    <w:p w14:paraId="0D85DEAC" w14:textId="77777777" w:rsidR="005B2861" w:rsidRPr="00AE02C5" w:rsidRDefault="005B2861" w:rsidP="005B2861">
      <w:pPr>
        <w:pStyle w:val="Standaard1"/>
        <w:ind w:left="1416" w:firstLine="24"/>
        <w:jc w:val="both"/>
        <w:rPr>
          <w:sz w:val="22"/>
          <w:lang w:val="nl-BE"/>
        </w:rPr>
      </w:pPr>
    </w:p>
    <w:p w14:paraId="63BC208F" w14:textId="587AAC93" w:rsidR="005B2861" w:rsidRPr="00AE02C5" w:rsidRDefault="00AE133E" w:rsidP="005B2861">
      <w:pPr>
        <w:pStyle w:val="Standaard1"/>
        <w:ind w:left="1416" w:firstLine="24"/>
        <w:jc w:val="both"/>
        <w:rPr>
          <w:sz w:val="22"/>
          <w:lang w:val="nl-BE"/>
        </w:rPr>
      </w:pPr>
      <w:r w:rsidRPr="00AE02C5">
        <w:rPr>
          <w:sz w:val="22"/>
          <w:lang w:val="nl-BE"/>
        </w:rPr>
        <w:t xml:space="preserve">Er wordt een werkdocument opgesteld dat vervolgens voor onderzoek, </w:t>
      </w:r>
      <w:r w:rsidR="00E60DF5" w:rsidRPr="00AE02C5">
        <w:rPr>
          <w:sz w:val="22"/>
          <w:lang w:val="nl-BE"/>
        </w:rPr>
        <w:t>bespreking</w:t>
      </w:r>
      <w:r w:rsidRPr="00AE02C5">
        <w:rPr>
          <w:sz w:val="22"/>
          <w:lang w:val="nl-BE"/>
        </w:rPr>
        <w:t xml:space="preserve"> en goedkeuring aan de ICHR wordt voorgelegd</w:t>
      </w:r>
      <w:r w:rsidR="005B2861" w:rsidRPr="00AE02C5">
        <w:rPr>
          <w:sz w:val="22"/>
          <w:lang w:val="nl-BE"/>
        </w:rPr>
        <w:t>.</w:t>
      </w:r>
    </w:p>
    <w:p w14:paraId="4339F101" w14:textId="77777777" w:rsidR="005B2861" w:rsidRPr="00AE02C5" w:rsidRDefault="005B2861" w:rsidP="005B2861">
      <w:pPr>
        <w:pStyle w:val="Standaard1"/>
        <w:ind w:left="1416" w:firstLine="24"/>
        <w:jc w:val="both"/>
        <w:rPr>
          <w:sz w:val="22"/>
          <w:lang w:val="nl-BE"/>
        </w:rPr>
      </w:pPr>
    </w:p>
    <w:p w14:paraId="20DF9226" w14:textId="7ACB97AC" w:rsidR="005B2861" w:rsidRPr="00AE02C5" w:rsidRDefault="0036386B" w:rsidP="005B2861">
      <w:pPr>
        <w:pStyle w:val="Standaard1"/>
        <w:ind w:left="1416" w:firstLine="24"/>
        <w:jc w:val="both"/>
        <w:rPr>
          <w:sz w:val="22"/>
          <w:lang w:val="nl-BE"/>
        </w:rPr>
      </w:pPr>
      <w:r w:rsidRPr="00AE02C5">
        <w:rPr>
          <w:sz w:val="22"/>
          <w:lang w:val="nl-BE"/>
        </w:rPr>
        <w:t xml:space="preserve">Op basis van dit goedgekeurde werkdocument worden voorstellen van uitvoeringsmaatregelen </w:t>
      </w:r>
      <w:r w:rsidR="008C30BB" w:rsidRPr="00AE02C5">
        <w:rPr>
          <w:sz w:val="22"/>
          <w:lang w:val="nl-BE"/>
        </w:rPr>
        <w:t xml:space="preserve">voorgelegd </w:t>
      </w:r>
      <w:r w:rsidRPr="00AE02C5">
        <w:rPr>
          <w:sz w:val="22"/>
          <w:lang w:val="nl-BE"/>
        </w:rPr>
        <w:t>aan de betrokken autoriteiten. Het goedgekeurde werkdocument wordt regelmatig</w:t>
      </w:r>
      <w:r w:rsidR="009340CA" w:rsidRPr="00AE02C5">
        <w:rPr>
          <w:sz w:val="22"/>
          <w:lang w:val="nl-BE"/>
        </w:rPr>
        <w:t xml:space="preserve"> bijgewerkt </w:t>
      </w:r>
      <w:r w:rsidRPr="00AE02C5">
        <w:rPr>
          <w:sz w:val="22"/>
          <w:lang w:val="nl-BE"/>
        </w:rPr>
        <w:t>en geactualiseerd</w:t>
      </w:r>
      <w:r w:rsidR="005B2861" w:rsidRPr="00AE02C5">
        <w:rPr>
          <w:sz w:val="22"/>
          <w:lang w:val="nl-BE"/>
        </w:rPr>
        <w:t xml:space="preserve">. </w:t>
      </w:r>
      <w:r w:rsidRPr="00AE02C5">
        <w:rPr>
          <w:sz w:val="22"/>
          <w:lang w:val="nl-BE"/>
        </w:rPr>
        <w:t>Sinds</w:t>
      </w:r>
      <w:r w:rsidR="005B2861" w:rsidRPr="00AE02C5">
        <w:rPr>
          <w:sz w:val="22"/>
          <w:lang w:val="nl-BE"/>
        </w:rPr>
        <w:t xml:space="preserve"> 2015</w:t>
      </w:r>
      <w:r w:rsidRPr="00AE02C5">
        <w:rPr>
          <w:sz w:val="22"/>
          <w:lang w:val="nl-BE"/>
        </w:rPr>
        <w:t xml:space="preserve"> werd overigens </w:t>
      </w:r>
      <w:r w:rsidR="00C14C34" w:rsidRPr="00AE02C5">
        <w:rPr>
          <w:sz w:val="22"/>
          <w:lang w:val="nl-BE"/>
        </w:rPr>
        <w:t xml:space="preserve">begonnen met </w:t>
      </w:r>
      <w:r w:rsidRPr="00AE02C5">
        <w:rPr>
          <w:sz w:val="22"/>
          <w:lang w:val="nl-BE"/>
        </w:rPr>
        <w:t xml:space="preserve">een nieuwe stand van zaken over de opvolging van de </w:t>
      </w:r>
      <w:r w:rsidR="009340CA" w:rsidRPr="00AE02C5">
        <w:rPr>
          <w:sz w:val="22"/>
          <w:lang w:val="nl-BE"/>
        </w:rPr>
        <w:t>voorgestelde</w:t>
      </w:r>
      <w:r w:rsidRPr="00AE02C5">
        <w:rPr>
          <w:sz w:val="22"/>
          <w:lang w:val="nl-BE"/>
        </w:rPr>
        <w:t xml:space="preserve"> maatregelen</w:t>
      </w:r>
      <w:r w:rsidR="005B2861" w:rsidRPr="00AE02C5">
        <w:rPr>
          <w:sz w:val="22"/>
          <w:lang w:val="nl-BE"/>
        </w:rPr>
        <w:t>.</w:t>
      </w:r>
    </w:p>
    <w:p w14:paraId="3BF68D07" w14:textId="77777777" w:rsidR="005B2861" w:rsidRPr="00AE02C5" w:rsidRDefault="005B2861" w:rsidP="005B2861">
      <w:pPr>
        <w:pStyle w:val="Standaard1"/>
        <w:ind w:left="1416" w:firstLine="24"/>
        <w:jc w:val="both"/>
        <w:rPr>
          <w:sz w:val="22"/>
          <w:lang w:val="nl-BE"/>
        </w:rPr>
      </w:pPr>
    </w:p>
    <w:p w14:paraId="7C8D1B7B" w14:textId="43403F17" w:rsidR="005B2861" w:rsidRPr="00AE02C5" w:rsidRDefault="005B2861" w:rsidP="005B2861">
      <w:pPr>
        <w:pStyle w:val="Standaard1"/>
        <w:ind w:left="1416" w:firstLine="24"/>
        <w:jc w:val="both"/>
        <w:rPr>
          <w:sz w:val="22"/>
          <w:lang w:val="nl-BE"/>
        </w:rPr>
      </w:pPr>
      <w:r w:rsidRPr="00AE02C5">
        <w:rPr>
          <w:sz w:val="22"/>
          <w:lang w:val="nl-BE"/>
        </w:rPr>
        <w:t>•</w:t>
      </w:r>
      <w:r w:rsidRPr="00AE02C5">
        <w:rPr>
          <w:sz w:val="22"/>
          <w:lang w:val="nl-BE"/>
        </w:rPr>
        <w:tab/>
      </w:r>
      <w:r w:rsidR="0063579F" w:rsidRPr="00AE02C5">
        <w:rPr>
          <w:sz w:val="22"/>
          <w:lang w:val="nl-BE"/>
        </w:rPr>
        <w:t>deze nationale uitvoeringsmaatregelen op te volgen en te coördineren</w:t>
      </w:r>
      <w:r w:rsidR="007E3092" w:rsidRPr="00AE02C5">
        <w:rPr>
          <w:sz w:val="22"/>
          <w:lang w:val="nl-BE"/>
        </w:rPr>
        <w:t>;</w:t>
      </w:r>
      <w:r w:rsidRPr="00AE02C5">
        <w:rPr>
          <w:sz w:val="22"/>
          <w:lang w:val="nl-BE"/>
        </w:rPr>
        <w:t xml:space="preserve"> </w:t>
      </w:r>
    </w:p>
    <w:p w14:paraId="4C644AFF" w14:textId="77777777" w:rsidR="005B2861" w:rsidRPr="00AE02C5" w:rsidRDefault="005B2861" w:rsidP="005B2861">
      <w:pPr>
        <w:pStyle w:val="Standaard1"/>
        <w:ind w:left="1416" w:firstLine="24"/>
        <w:jc w:val="both"/>
        <w:rPr>
          <w:sz w:val="22"/>
          <w:lang w:val="nl-BE"/>
        </w:rPr>
      </w:pPr>
    </w:p>
    <w:p w14:paraId="3E9E08A8" w14:textId="7BD3AD56" w:rsidR="005B2861" w:rsidRPr="00AE02C5" w:rsidRDefault="005B2861" w:rsidP="005B2861">
      <w:pPr>
        <w:pStyle w:val="Standaard1"/>
        <w:ind w:left="2160" w:hanging="720"/>
        <w:jc w:val="both"/>
        <w:rPr>
          <w:sz w:val="22"/>
          <w:lang w:val="nl-BE"/>
        </w:rPr>
      </w:pPr>
      <w:r w:rsidRPr="00AE02C5">
        <w:rPr>
          <w:sz w:val="22"/>
          <w:lang w:val="nl-BE"/>
        </w:rPr>
        <w:lastRenderedPageBreak/>
        <w:t>•</w:t>
      </w:r>
      <w:r w:rsidRPr="00AE02C5">
        <w:rPr>
          <w:sz w:val="22"/>
          <w:lang w:val="nl-BE"/>
        </w:rPr>
        <w:tab/>
      </w:r>
      <w:r w:rsidR="0063579F" w:rsidRPr="00AE02C5">
        <w:rPr>
          <w:sz w:val="22"/>
          <w:lang w:val="nl-BE"/>
        </w:rPr>
        <w:t xml:space="preserve">als permanent adviesorgaan, de federale </w:t>
      </w:r>
      <w:r w:rsidR="009340CA" w:rsidRPr="00AE02C5">
        <w:rPr>
          <w:sz w:val="22"/>
          <w:lang w:val="nl-BE"/>
        </w:rPr>
        <w:t>r</w:t>
      </w:r>
      <w:r w:rsidR="0063579F" w:rsidRPr="00AE02C5">
        <w:rPr>
          <w:sz w:val="22"/>
          <w:lang w:val="nl-BE"/>
        </w:rPr>
        <w:t xml:space="preserve">egering, op eigen initiatief of op haar verzoek, bij te staan </w:t>
      </w:r>
      <w:r w:rsidR="009340CA" w:rsidRPr="00AE02C5">
        <w:rPr>
          <w:sz w:val="22"/>
          <w:lang w:val="nl-BE"/>
        </w:rPr>
        <w:t>met</w:t>
      </w:r>
      <w:r w:rsidR="0063579F" w:rsidRPr="00AE02C5">
        <w:rPr>
          <w:sz w:val="22"/>
          <w:lang w:val="nl-BE"/>
        </w:rPr>
        <w:t xml:space="preserve"> studies, verslagen, adviezen of voorstellen in verband met de toepassing en de ontwikkeling van het internationaal humanitair recht; </w:t>
      </w:r>
    </w:p>
    <w:p w14:paraId="4FBEDDB6" w14:textId="77777777" w:rsidR="005B2861" w:rsidRPr="00AE02C5" w:rsidRDefault="005B2861" w:rsidP="005B2861">
      <w:pPr>
        <w:pStyle w:val="Standaard1"/>
        <w:ind w:left="1416" w:firstLine="24"/>
        <w:jc w:val="both"/>
        <w:rPr>
          <w:sz w:val="22"/>
          <w:lang w:val="nl-BE"/>
        </w:rPr>
      </w:pPr>
    </w:p>
    <w:p w14:paraId="684C704C" w14:textId="6C898012" w:rsidR="005B2861" w:rsidRPr="00AE02C5" w:rsidRDefault="005B2861" w:rsidP="005B2861">
      <w:pPr>
        <w:pStyle w:val="Standaard1"/>
        <w:ind w:left="2160" w:hanging="720"/>
        <w:jc w:val="both"/>
        <w:rPr>
          <w:sz w:val="22"/>
          <w:lang w:val="nl-BE"/>
        </w:rPr>
      </w:pPr>
      <w:r w:rsidRPr="00AE02C5">
        <w:rPr>
          <w:sz w:val="22"/>
          <w:lang w:val="nl-BE"/>
        </w:rPr>
        <w:t>•</w:t>
      </w:r>
      <w:r w:rsidRPr="00AE02C5">
        <w:rPr>
          <w:sz w:val="22"/>
          <w:lang w:val="nl-BE"/>
        </w:rPr>
        <w:tab/>
      </w:r>
      <w:r w:rsidR="0063579F" w:rsidRPr="00AE02C5">
        <w:rPr>
          <w:sz w:val="22"/>
          <w:lang w:val="nl-BE"/>
        </w:rPr>
        <w:t xml:space="preserve">de voortzetting van de werkzaamheden te </w:t>
      </w:r>
      <w:r w:rsidR="009340CA" w:rsidRPr="00AE02C5">
        <w:rPr>
          <w:sz w:val="22"/>
          <w:lang w:val="nl-BE"/>
        </w:rPr>
        <w:t>waarborgen</w:t>
      </w:r>
      <w:r w:rsidR="0063579F" w:rsidRPr="00AE02C5">
        <w:rPr>
          <w:sz w:val="22"/>
          <w:lang w:val="nl-BE"/>
        </w:rPr>
        <w:t xml:space="preserve"> en in te staan voor de bewaring van het archief van de Interministeriële Commissie voor Humanitair Recht; </w:t>
      </w:r>
    </w:p>
    <w:p w14:paraId="577D0400" w14:textId="77777777" w:rsidR="005B2861" w:rsidRPr="00AE02C5" w:rsidRDefault="005B2861" w:rsidP="005B2861">
      <w:pPr>
        <w:pStyle w:val="Standaard1"/>
        <w:ind w:left="1416" w:firstLine="24"/>
        <w:jc w:val="both"/>
        <w:rPr>
          <w:sz w:val="22"/>
          <w:lang w:val="nl-BE"/>
        </w:rPr>
      </w:pPr>
    </w:p>
    <w:p w14:paraId="720F5F85" w14:textId="50B0241D" w:rsidR="005B2861" w:rsidRPr="00AE02C5" w:rsidRDefault="005B2861" w:rsidP="005B2861">
      <w:pPr>
        <w:pStyle w:val="Standaard1"/>
        <w:ind w:left="2160" w:hanging="720"/>
        <w:jc w:val="both"/>
        <w:rPr>
          <w:sz w:val="22"/>
          <w:lang w:val="nl-BE"/>
        </w:rPr>
      </w:pPr>
      <w:r w:rsidRPr="00AE02C5">
        <w:rPr>
          <w:sz w:val="22"/>
          <w:lang w:val="nl-BE"/>
        </w:rPr>
        <w:t>•</w:t>
      </w:r>
      <w:r w:rsidRPr="00AE02C5">
        <w:rPr>
          <w:sz w:val="22"/>
          <w:lang w:val="nl-BE"/>
        </w:rPr>
        <w:tab/>
      </w:r>
      <w:r w:rsidR="009340CA" w:rsidRPr="00AE02C5">
        <w:rPr>
          <w:sz w:val="22"/>
          <w:lang w:val="nl-BE"/>
        </w:rPr>
        <w:t xml:space="preserve">op te treden </w:t>
      </w:r>
      <w:r w:rsidR="00C14C34" w:rsidRPr="00AE02C5">
        <w:rPr>
          <w:sz w:val="22"/>
          <w:lang w:val="nl-BE"/>
        </w:rPr>
        <w:t xml:space="preserve">als nationaal adviescomité voor de bescherming van de culturele goederen </w:t>
      </w:r>
      <w:r w:rsidR="009340CA" w:rsidRPr="00AE02C5">
        <w:rPr>
          <w:sz w:val="22"/>
          <w:lang w:val="nl-BE"/>
        </w:rPr>
        <w:t xml:space="preserve">in de zin van </w:t>
      </w:r>
      <w:r w:rsidR="00DF6AC1" w:rsidRPr="00AE02C5">
        <w:rPr>
          <w:sz w:val="22"/>
          <w:lang w:val="nl-BE"/>
        </w:rPr>
        <w:t xml:space="preserve">Resolutie </w:t>
      </w:r>
      <w:r w:rsidRPr="00AE02C5">
        <w:rPr>
          <w:sz w:val="22"/>
          <w:lang w:val="nl-BE"/>
        </w:rPr>
        <w:t>II</w:t>
      </w:r>
      <w:r w:rsidR="00DF6AC1" w:rsidRPr="00AE02C5">
        <w:rPr>
          <w:sz w:val="22"/>
          <w:lang w:val="nl-BE"/>
        </w:rPr>
        <w:t xml:space="preserve"> van de Intergouvernemente</w:t>
      </w:r>
      <w:r w:rsidRPr="00AE02C5">
        <w:rPr>
          <w:sz w:val="22"/>
          <w:lang w:val="nl-BE"/>
        </w:rPr>
        <w:t>le</w:t>
      </w:r>
      <w:r w:rsidR="00DF6AC1" w:rsidRPr="00AE02C5">
        <w:rPr>
          <w:sz w:val="22"/>
          <w:lang w:val="nl-BE"/>
        </w:rPr>
        <w:t xml:space="preserve"> Conferentie inzake de bescherming van </w:t>
      </w:r>
      <w:bookmarkStart w:id="26" w:name="_Hlk536710546"/>
      <w:r w:rsidR="00DF6AC1" w:rsidRPr="00AE02C5">
        <w:rPr>
          <w:sz w:val="22"/>
          <w:lang w:val="nl-BE"/>
        </w:rPr>
        <w:t xml:space="preserve">culturele goederen </w:t>
      </w:r>
      <w:bookmarkEnd w:id="26"/>
      <w:r w:rsidR="00DF6AC1" w:rsidRPr="00AE02C5">
        <w:rPr>
          <w:sz w:val="22"/>
          <w:lang w:val="nl-BE"/>
        </w:rPr>
        <w:t>in geval van een gewapend conflict, goedgekeurd te ’s</w:t>
      </w:r>
      <w:r w:rsidR="00D665A1" w:rsidRPr="00AE02C5">
        <w:rPr>
          <w:sz w:val="22"/>
          <w:lang w:val="nl-BE"/>
        </w:rPr>
        <w:t>-</w:t>
      </w:r>
      <w:r w:rsidR="00DF6AC1" w:rsidRPr="00AE02C5">
        <w:rPr>
          <w:sz w:val="22"/>
          <w:lang w:val="nl-BE"/>
        </w:rPr>
        <w:t>Gravenhage op 1</w:t>
      </w:r>
      <w:r w:rsidRPr="00AE02C5">
        <w:rPr>
          <w:sz w:val="22"/>
          <w:lang w:val="nl-BE"/>
        </w:rPr>
        <w:t>4 m</w:t>
      </w:r>
      <w:r w:rsidR="00DF6AC1" w:rsidRPr="00AE02C5">
        <w:rPr>
          <w:sz w:val="22"/>
          <w:lang w:val="nl-BE"/>
        </w:rPr>
        <w:t>e</w:t>
      </w:r>
      <w:r w:rsidRPr="00AE02C5">
        <w:rPr>
          <w:sz w:val="22"/>
          <w:lang w:val="nl-BE"/>
        </w:rPr>
        <w:t>i 1954.</w:t>
      </w:r>
    </w:p>
    <w:p w14:paraId="7A1E94DA" w14:textId="02D189A7" w:rsidR="005B2861" w:rsidRPr="00AE02C5" w:rsidRDefault="005B2861" w:rsidP="00B76CD4">
      <w:pPr>
        <w:pStyle w:val="Standaard1"/>
        <w:jc w:val="both"/>
        <w:rPr>
          <w:sz w:val="22"/>
          <w:lang w:val="nl-BE"/>
        </w:rPr>
      </w:pPr>
    </w:p>
    <w:p w14:paraId="7B5935F1" w14:textId="77777777" w:rsidR="00ED3396" w:rsidRPr="00AE02C5" w:rsidRDefault="00ED3396">
      <w:pPr>
        <w:pStyle w:val="Standaard1"/>
        <w:ind w:left="1416" w:hanging="708"/>
        <w:jc w:val="both"/>
        <w:rPr>
          <w:sz w:val="22"/>
          <w:lang w:val="nl-BE"/>
        </w:rPr>
      </w:pPr>
    </w:p>
    <w:bookmarkEnd w:id="24"/>
    <w:p w14:paraId="0D13570A" w14:textId="1C29C3BF" w:rsidR="00F85B9B" w:rsidRPr="00AE02C5" w:rsidRDefault="009D1846" w:rsidP="00232390">
      <w:pPr>
        <w:pStyle w:val="Standaard1"/>
        <w:numPr>
          <w:ilvl w:val="0"/>
          <w:numId w:val="38"/>
        </w:numPr>
        <w:jc w:val="both"/>
        <w:rPr>
          <w:i/>
          <w:sz w:val="22"/>
          <w:lang w:val="nl-BE"/>
        </w:rPr>
      </w:pPr>
      <w:r w:rsidRPr="00AE02C5">
        <w:rPr>
          <w:i/>
          <w:sz w:val="22"/>
          <w:lang w:val="nl-BE"/>
        </w:rPr>
        <w:t>Structu</w:t>
      </w:r>
      <w:r w:rsidR="0036386B" w:rsidRPr="00AE02C5">
        <w:rPr>
          <w:i/>
          <w:sz w:val="22"/>
          <w:lang w:val="nl-BE"/>
        </w:rPr>
        <w:t>u</w:t>
      </w:r>
      <w:r w:rsidRPr="00AE02C5">
        <w:rPr>
          <w:i/>
          <w:sz w:val="22"/>
          <w:lang w:val="nl-BE"/>
        </w:rPr>
        <w:t>r</w:t>
      </w:r>
      <w:r w:rsidR="0036386B" w:rsidRPr="00AE02C5">
        <w:rPr>
          <w:i/>
          <w:sz w:val="22"/>
          <w:lang w:val="nl-BE"/>
        </w:rPr>
        <w:t xml:space="preserve"> en samenstelling</w:t>
      </w:r>
    </w:p>
    <w:p w14:paraId="2270DD2D" w14:textId="77777777" w:rsidR="00F85B9B" w:rsidRPr="00AE02C5" w:rsidRDefault="00F85B9B" w:rsidP="00232390">
      <w:pPr>
        <w:pStyle w:val="Standaard1"/>
        <w:ind w:left="1416" w:firstLine="24"/>
        <w:jc w:val="both"/>
        <w:rPr>
          <w:sz w:val="22"/>
          <w:lang w:val="nl-BE"/>
        </w:rPr>
      </w:pPr>
    </w:p>
    <w:p w14:paraId="787505FD" w14:textId="183A065F" w:rsidR="008F7F81" w:rsidRPr="00AE02C5" w:rsidRDefault="0036386B" w:rsidP="00232390">
      <w:pPr>
        <w:pStyle w:val="Standaard1"/>
        <w:ind w:left="1416" w:firstLine="24"/>
        <w:jc w:val="both"/>
        <w:rPr>
          <w:sz w:val="22"/>
          <w:lang w:val="nl-BE"/>
        </w:rPr>
      </w:pPr>
      <w:r w:rsidRPr="00AE02C5">
        <w:rPr>
          <w:sz w:val="22"/>
          <w:lang w:val="nl-BE"/>
        </w:rPr>
        <w:t xml:space="preserve">De Commissie </w:t>
      </w:r>
      <w:r w:rsidR="00CE6EC8" w:rsidRPr="00AE02C5">
        <w:rPr>
          <w:sz w:val="22"/>
          <w:lang w:val="nl-BE"/>
        </w:rPr>
        <w:t>staat onder</w:t>
      </w:r>
      <w:r w:rsidRPr="00AE02C5">
        <w:rPr>
          <w:sz w:val="22"/>
          <w:lang w:val="nl-BE"/>
        </w:rPr>
        <w:t xml:space="preserve"> </w:t>
      </w:r>
      <w:r w:rsidR="009B3A6F" w:rsidRPr="00AE02C5">
        <w:rPr>
          <w:sz w:val="22"/>
          <w:lang w:val="nl-BE"/>
        </w:rPr>
        <w:t xml:space="preserve">de </w:t>
      </w:r>
      <w:r w:rsidRPr="00AE02C5">
        <w:rPr>
          <w:sz w:val="22"/>
          <w:lang w:val="nl-BE"/>
        </w:rPr>
        <w:t>voogdij van de Minister van Buitenlandse Zaken</w:t>
      </w:r>
      <w:r w:rsidR="004D36E4" w:rsidRPr="00AE02C5">
        <w:rPr>
          <w:sz w:val="22"/>
          <w:lang w:val="nl-BE"/>
        </w:rPr>
        <w:t>,</w:t>
      </w:r>
      <w:r w:rsidRPr="00AE02C5">
        <w:rPr>
          <w:sz w:val="22"/>
          <w:lang w:val="nl-BE"/>
        </w:rPr>
        <w:t xml:space="preserve"> die </w:t>
      </w:r>
      <w:r w:rsidR="00877250" w:rsidRPr="00AE02C5">
        <w:rPr>
          <w:sz w:val="22"/>
          <w:lang w:val="nl-BE"/>
        </w:rPr>
        <w:t xml:space="preserve">toeziet </w:t>
      </w:r>
      <w:r w:rsidR="006F4C81" w:rsidRPr="00AE02C5">
        <w:rPr>
          <w:sz w:val="22"/>
          <w:lang w:val="nl-BE"/>
        </w:rPr>
        <w:t>op</w:t>
      </w:r>
      <w:r w:rsidRPr="00AE02C5">
        <w:rPr>
          <w:sz w:val="22"/>
          <w:lang w:val="nl-BE"/>
        </w:rPr>
        <w:t xml:space="preserve"> de </w:t>
      </w:r>
      <w:r w:rsidR="00322D7D" w:rsidRPr="00AE02C5">
        <w:rPr>
          <w:sz w:val="22"/>
          <w:lang w:val="nl-BE"/>
        </w:rPr>
        <w:t>naleving</w:t>
      </w:r>
      <w:r w:rsidRPr="00AE02C5">
        <w:rPr>
          <w:sz w:val="22"/>
          <w:lang w:val="nl-BE"/>
        </w:rPr>
        <w:t xml:space="preserve"> van de internationale verplichtingen die België </w:t>
      </w:r>
      <w:r w:rsidR="006F4C81" w:rsidRPr="00AE02C5">
        <w:rPr>
          <w:sz w:val="22"/>
          <w:lang w:val="nl-BE"/>
        </w:rPr>
        <w:t>is</w:t>
      </w:r>
      <w:r w:rsidRPr="00AE02C5">
        <w:rPr>
          <w:sz w:val="22"/>
          <w:lang w:val="nl-BE"/>
        </w:rPr>
        <w:t xml:space="preserve"> aangegaan</w:t>
      </w:r>
      <w:r w:rsidR="008F7F81" w:rsidRPr="00AE02C5">
        <w:rPr>
          <w:sz w:val="22"/>
          <w:lang w:val="nl-BE"/>
        </w:rPr>
        <w:t>.</w:t>
      </w:r>
    </w:p>
    <w:p w14:paraId="502A1DAE" w14:textId="77777777" w:rsidR="008F7F81" w:rsidRPr="00AE02C5" w:rsidRDefault="008F7F81" w:rsidP="00232390">
      <w:pPr>
        <w:pStyle w:val="Standaard1"/>
        <w:ind w:left="1416" w:firstLine="24"/>
        <w:jc w:val="both"/>
        <w:rPr>
          <w:sz w:val="22"/>
          <w:lang w:val="nl-BE"/>
        </w:rPr>
      </w:pPr>
    </w:p>
    <w:p w14:paraId="61DC0C1F" w14:textId="3F425624" w:rsidR="00D70E8E" w:rsidRPr="00AE02C5" w:rsidRDefault="004D36E4" w:rsidP="00232390">
      <w:pPr>
        <w:pStyle w:val="Standaard1"/>
        <w:ind w:left="1416" w:firstLine="24"/>
        <w:jc w:val="both"/>
        <w:rPr>
          <w:sz w:val="22"/>
          <w:lang w:val="nl-BE"/>
        </w:rPr>
      </w:pPr>
      <w:r w:rsidRPr="00AE02C5">
        <w:rPr>
          <w:sz w:val="22"/>
          <w:lang w:val="nl-BE"/>
        </w:rPr>
        <w:t xml:space="preserve">Ze bestaat uit vertegenwoordigers van de Eerste Minister en van de Ministers bevoegd voor Buitenlandse Zaken, Justitie, </w:t>
      </w:r>
      <w:r w:rsidR="00BB527A" w:rsidRPr="00AE02C5">
        <w:rPr>
          <w:sz w:val="22"/>
          <w:lang w:val="nl-BE"/>
        </w:rPr>
        <w:t>Defensie</w:t>
      </w:r>
      <w:r w:rsidRPr="00AE02C5">
        <w:rPr>
          <w:sz w:val="22"/>
          <w:lang w:val="nl-BE"/>
        </w:rPr>
        <w:t xml:space="preserve">, </w:t>
      </w:r>
      <w:r w:rsidR="0054628D" w:rsidRPr="00AE02C5">
        <w:rPr>
          <w:sz w:val="22"/>
          <w:lang w:val="nl-BE"/>
        </w:rPr>
        <w:t xml:space="preserve">Veiligheid en </w:t>
      </w:r>
      <w:r w:rsidRPr="00AE02C5">
        <w:rPr>
          <w:sz w:val="22"/>
          <w:lang w:val="nl-BE"/>
        </w:rPr>
        <w:t>Binnenlandse Zaken, Volksgezondheid</w:t>
      </w:r>
      <w:r w:rsidR="00E27114" w:rsidRPr="00AE02C5">
        <w:rPr>
          <w:sz w:val="22"/>
          <w:lang w:val="nl-BE"/>
        </w:rPr>
        <w:t>, Ontwikkelingssamenwerking en, sinds 2016, Migratie</w:t>
      </w:r>
      <w:r w:rsidR="00F85B9B" w:rsidRPr="00AE02C5">
        <w:rPr>
          <w:sz w:val="22"/>
          <w:lang w:val="nl-BE"/>
        </w:rPr>
        <w:t>.</w:t>
      </w:r>
    </w:p>
    <w:p w14:paraId="4130E2B4" w14:textId="77777777" w:rsidR="00D70E8E" w:rsidRPr="00AE02C5" w:rsidRDefault="00D70E8E" w:rsidP="00232390">
      <w:pPr>
        <w:pStyle w:val="Standaard1"/>
        <w:ind w:left="1416" w:firstLine="24"/>
        <w:jc w:val="both"/>
        <w:rPr>
          <w:sz w:val="22"/>
          <w:lang w:val="nl-BE"/>
        </w:rPr>
      </w:pPr>
    </w:p>
    <w:p w14:paraId="1AC9F167" w14:textId="14959C75" w:rsidR="00ED3396" w:rsidRPr="00AE02C5" w:rsidRDefault="009203C0" w:rsidP="00232390">
      <w:pPr>
        <w:pStyle w:val="Standaard1"/>
        <w:ind w:left="1416" w:firstLine="24"/>
        <w:jc w:val="both"/>
        <w:rPr>
          <w:sz w:val="22"/>
          <w:lang w:val="nl-BE"/>
        </w:rPr>
      </w:pPr>
      <w:r w:rsidRPr="00AE02C5">
        <w:rPr>
          <w:sz w:val="22"/>
          <w:lang w:val="nl-BE"/>
        </w:rPr>
        <w:t>Vertegenwoordigers van het Belgische Rode Kruis nemen</w:t>
      </w:r>
      <w:r w:rsidR="00B563D5" w:rsidRPr="00AE02C5">
        <w:rPr>
          <w:sz w:val="22"/>
          <w:lang w:val="nl-BE"/>
        </w:rPr>
        <w:t xml:space="preserve"> als deskundigen</w:t>
      </w:r>
      <w:r w:rsidRPr="00AE02C5">
        <w:rPr>
          <w:sz w:val="22"/>
          <w:lang w:val="nl-BE"/>
        </w:rPr>
        <w:t xml:space="preserve"> deel a</w:t>
      </w:r>
      <w:r w:rsidR="00B563D5" w:rsidRPr="00AE02C5">
        <w:rPr>
          <w:sz w:val="22"/>
          <w:lang w:val="nl-BE"/>
        </w:rPr>
        <w:t>an de werkzaamheden van de ICHR</w:t>
      </w:r>
      <w:r w:rsidR="00ED3396" w:rsidRPr="00AE02C5">
        <w:rPr>
          <w:sz w:val="22"/>
          <w:lang w:val="nl-BE"/>
        </w:rPr>
        <w:t>.</w:t>
      </w:r>
    </w:p>
    <w:p w14:paraId="6F7CBE2A" w14:textId="77777777" w:rsidR="00D70E8E" w:rsidRPr="00AE02C5" w:rsidRDefault="00D70E8E" w:rsidP="00232390">
      <w:pPr>
        <w:pStyle w:val="Standaard1"/>
        <w:ind w:left="1416" w:firstLine="24"/>
        <w:jc w:val="both"/>
        <w:rPr>
          <w:sz w:val="22"/>
          <w:lang w:val="nl-BE"/>
        </w:rPr>
      </w:pPr>
    </w:p>
    <w:p w14:paraId="4A0F5633" w14:textId="33A64C42" w:rsidR="00EA7F73" w:rsidRPr="00AE02C5" w:rsidRDefault="009203C0" w:rsidP="00232390">
      <w:pPr>
        <w:pStyle w:val="Standaard1"/>
        <w:ind w:left="1416" w:firstLine="24"/>
        <w:jc w:val="both"/>
        <w:rPr>
          <w:sz w:val="22"/>
          <w:lang w:val="nl-BE"/>
        </w:rPr>
      </w:pPr>
      <w:r w:rsidRPr="00AE02C5">
        <w:rPr>
          <w:sz w:val="22"/>
          <w:lang w:val="nl-BE"/>
        </w:rPr>
        <w:t>Vertegenwoordigers van het Federaal Parket en van de Gemeenschap</w:t>
      </w:r>
      <w:r w:rsidR="00B563D5" w:rsidRPr="00AE02C5">
        <w:rPr>
          <w:sz w:val="22"/>
          <w:lang w:val="nl-BE"/>
        </w:rPr>
        <w:t xml:space="preserve">s- en </w:t>
      </w:r>
      <w:r w:rsidRPr="00AE02C5">
        <w:rPr>
          <w:sz w:val="22"/>
          <w:lang w:val="nl-BE"/>
        </w:rPr>
        <w:t>Gewest</w:t>
      </w:r>
      <w:r w:rsidR="00B563D5" w:rsidRPr="00AE02C5">
        <w:rPr>
          <w:sz w:val="22"/>
          <w:lang w:val="nl-BE"/>
        </w:rPr>
        <w:t xml:space="preserve">regeringen </w:t>
      </w:r>
      <w:r w:rsidRPr="00AE02C5">
        <w:rPr>
          <w:sz w:val="22"/>
          <w:lang w:val="nl-BE"/>
        </w:rPr>
        <w:t>worden ook uitgenodigd om deel te nemen aan de werkzaamheden van de Commissie</w:t>
      </w:r>
      <w:r w:rsidR="00EA7F73" w:rsidRPr="00AE02C5">
        <w:rPr>
          <w:sz w:val="22"/>
          <w:lang w:val="nl-BE"/>
        </w:rPr>
        <w:t>.</w:t>
      </w:r>
    </w:p>
    <w:p w14:paraId="0E2D54CD" w14:textId="73817FC8" w:rsidR="00EA7F73" w:rsidRPr="00AE02C5" w:rsidRDefault="00EA7F73" w:rsidP="00232390">
      <w:pPr>
        <w:pStyle w:val="Standaard1"/>
        <w:ind w:left="1416" w:firstLine="24"/>
        <w:jc w:val="both"/>
        <w:rPr>
          <w:sz w:val="22"/>
          <w:lang w:val="nl-BE"/>
        </w:rPr>
      </w:pPr>
    </w:p>
    <w:p w14:paraId="4A100CCC" w14:textId="56A003FC" w:rsidR="00EA7F73" w:rsidRPr="00AE02C5" w:rsidRDefault="009203C0" w:rsidP="00232390">
      <w:pPr>
        <w:pStyle w:val="Standaard1"/>
        <w:ind w:left="1416" w:firstLine="24"/>
        <w:jc w:val="both"/>
        <w:rPr>
          <w:sz w:val="22"/>
          <w:lang w:val="nl-BE"/>
        </w:rPr>
      </w:pPr>
      <w:r w:rsidRPr="00AE02C5">
        <w:rPr>
          <w:sz w:val="22"/>
          <w:lang w:val="nl-BE"/>
        </w:rPr>
        <w:t>De Voorzitter van de Commissie</w:t>
      </w:r>
      <w:r w:rsidR="002A38B0" w:rsidRPr="00AE02C5">
        <w:rPr>
          <w:sz w:val="22"/>
          <w:lang w:val="nl-BE"/>
        </w:rPr>
        <w:t xml:space="preserve"> wordt </w:t>
      </w:r>
      <w:r w:rsidR="007E6EB2" w:rsidRPr="00AE02C5">
        <w:rPr>
          <w:sz w:val="22"/>
          <w:lang w:val="nl-BE"/>
        </w:rPr>
        <w:t>aangewezen</w:t>
      </w:r>
      <w:r w:rsidR="002A38B0" w:rsidRPr="00AE02C5">
        <w:rPr>
          <w:sz w:val="22"/>
          <w:lang w:val="nl-BE"/>
        </w:rPr>
        <w:t xml:space="preserve"> door de </w:t>
      </w:r>
      <w:r w:rsidR="00103B05" w:rsidRPr="00AE02C5">
        <w:rPr>
          <w:sz w:val="22"/>
          <w:lang w:val="nl-BE"/>
        </w:rPr>
        <w:t>M</w:t>
      </w:r>
      <w:r w:rsidR="002A38B0" w:rsidRPr="00AE02C5">
        <w:rPr>
          <w:sz w:val="22"/>
          <w:lang w:val="nl-BE"/>
        </w:rPr>
        <w:t xml:space="preserve">inister van Buitenlandse Zaken, op voordracht van de </w:t>
      </w:r>
      <w:r w:rsidR="00CE6EC8" w:rsidRPr="00AE02C5">
        <w:rPr>
          <w:sz w:val="22"/>
          <w:lang w:val="nl-BE"/>
        </w:rPr>
        <w:t>M</w:t>
      </w:r>
      <w:r w:rsidR="002A38B0" w:rsidRPr="00AE02C5">
        <w:rPr>
          <w:sz w:val="22"/>
          <w:lang w:val="nl-BE"/>
        </w:rPr>
        <w:t>inister van Justitie.</w:t>
      </w:r>
    </w:p>
    <w:p w14:paraId="543C7BCE" w14:textId="739B3366" w:rsidR="00EA7F73" w:rsidRPr="00AE02C5" w:rsidRDefault="00EA7F73" w:rsidP="00232390">
      <w:pPr>
        <w:pStyle w:val="Standaard1"/>
        <w:ind w:left="1416" w:firstLine="24"/>
        <w:jc w:val="both"/>
        <w:rPr>
          <w:sz w:val="22"/>
          <w:lang w:val="nl-BE"/>
        </w:rPr>
      </w:pPr>
    </w:p>
    <w:p w14:paraId="240FCD56" w14:textId="3B89E7EE" w:rsidR="00EA7F73" w:rsidRPr="00AE02C5" w:rsidRDefault="007E6EB2" w:rsidP="00232390">
      <w:pPr>
        <w:pStyle w:val="Standaard1"/>
        <w:ind w:left="1416" w:firstLine="24"/>
        <w:jc w:val="both"/>
        <w:rPr>
          <w:sz w:val="22"/>
          <w:lang w:val="nl-BE"/>
        </w:rPr>
      </w:pPr>
      <w:r w:rsidRPr="00AE02C5">
        <w:rPr>
          <w:sz w:val="22"/>
          <w:lang w:val="nl-BE"/>
        </w:rPr>
        <w:t xml:space="preserve">Voor </w:t>
      </w:r>
      <w:r w:rsidR="00AC5CA0" w:rsidRPr="00AE02C5">
        <w:rPr>
          <w:sz w:val="22"/>
          <w:lang w:val="nl-BE"/>
        </w:rPr>
        <w:t>elke</w:t>
      </w:r>
      <w:r w:rsidRPr="00AE02C5">
        <w:rPr>
          <w:sz w:val="22"/>
          <w:lang w:val="nl-BE"/>
        </w:rPr>
        <w:t xml:space="preserve"> vertegenwoordiger wordt een</w:t>
      </w:r>
      <w:r w:rsidR="00AC5CA0" w:rsidRPr="00AE02C5">
        <w:rPr>
          <w:sz w:val="22"/>
          <w:lang w:val="nl-BE"/>
        </w:rPr>
        <w:t xml:space="preserve"> plaats</w:t>
      </w:r>
      <w:r w:rsidRPr="00AE02C5">
        <w:rPr>
          <w:sz w:val="22"/>
          <w:lang w:val="nl-BE"/>
        </w:rPr>
        <w:t>vervanger aangewezen</w:t>
      </w:r>
      <w:r w:rsidR="00EA7F73" w:rsidRPr="00AE02C5">
        <w:rPr>
          <w:sz w:val="22"/>
          <w:lang w:val="nl-BE"/>
        </w:rPr>
        <w:t>.</w:t>
      </w:r>
    </w:p>
    <w:p w14:paraId="689E154A" w14:textId="6DF2901B" w:rsidR="00D70E8E" w:rsidRPr="00AE02C5" w:rsidRDefault="00AE02C5" w:rsidP="00AE02C5">
      <w:pPr>
        <w:pStyle w:val="Standaard1"/>
        <w:tabs>
          <w:tab w:val="left" w:pos="7305"/>
        </w:tabs>
        <w:ind w:left="1416" w:firstLine="24"/>
        <w:jc w:val="both"/>
        <w:rPr>
          <w:sz w:val="22"/>
          <w:lang w:val="nl-BE"/>
        </w:rPr>
      </w:pPr>
      <w:r>
        <w:rPr>
          <w:sz w:val="22"/>
          <w:lang w:val="nl-BE"/>
        </w:rPr>
        <w:tab/>
      </w:r>
    </w:p>
    <w:p w14:paraId="66B716DD" w14:textId="5991FAA9" w:rsidR="00D70E8E" w:rsidRPr="00AE02C5" w:rsidRDefault="007E6EB2">
      <w:pPr>
        <w:pStyle w:val="Standaard1"/>
        <w:ind w:left="1416"/>
        <w:jc w:val="both"/>
        <w:rPr>
          <w:sz w:val="22"/>
          <w:lang w:val="nl-BE"/>
        </w:rPr>
      </w:pPr>
      <w:r w:rsidRPr="00AE02C5">
        <w:rPr>
          <w:sz w:val="22"/>
          <w:lang w:val="nl-BE"/>
        </w:rPr>
        <w:t xml:space="preserve">De Commissie </w:t>
      </w:r>
      <w:r w:rsidR="00AC5CA0" w:rsidRPr="00AE02C5">
        <w:rPr>
          <w:sz w:val="22"/>
          <w:lang w:val="nl-BE"/>
        </w:rPr>
        <w:t>mag zich laten bijstaan</w:t>
      </w:r>
      <w:r w:rsidRPr="00AE02C5">
        <w:rPr>
          <w:sz w:val="22"/>
          <w:lang w:val="nl-BE"/>
        </w:rPr>
        <w:t xml:space="preserve"> door </w:t>
      </w:r>
      <w:r w:rsidR="00BB527A" w:rsidRPr="00AE02C5">
        <w:rPr>
          <w:sz w:val="22"/>
          <w:lang w:val="nl-BE"/>
        </w:rPr>
        <w:t>vaste</w:t>
      </w:r>
      <w:r w:rsidRPr="00AE02C5">
        <w:rPr>
          <w:sz w:val="22"/>
          <w:lang w:val="nl-BE"/>
        </w:rPr>
        <w:t xml:space="preserve"> deskundigen</w:t>
      </w:r>
      <w:r w:rsidR="00F94BA4" w:rsidRPr="00AE02C5">
        <w:rPr>
          <w:sz w:val="22"/>
          <w:lang w:val="nl-BE"/>
        </w:rPr>
        <w:t>. Zij worden</w:t>
      </w:r>
      <w:r w:rsidRPr="00AE02C5">
        <w:rPr>
          <w:sz w:val="22"/>
          <w:lang w:val="nl-BE"/>
        </w:rPr>
        <w:t xml:space="preserve"> </w:t>
      </w:r>
      <w:r w:rsidR="00BB527A" w:rsidRPr="00AE02C5">
        <w:rPr>
          <w:sz w:val="22"/>
          <w:lang w:val="nl-BE"/>
        </w:rPr>
        <w:t>a</w:t>
      </w:r>
      <w:r w:rsidRPr="00AE02C5">
        <w:rPr>
          <w:sz w:val="22"/>
          <w:lang w:val="nl-BE"/>
        </w:rPr>
        <w:t xml:space="preserve">angewezen door de Commissie op voordracht van een </w:t>
      </w:r>
      <w:r w:rsidR="00BB527A" w:rsidRPr="00AE02C5">
        <w:rPr>
          <w:sz w:val="22"/>
          <w:lang w:val="nl-BE"/>
        </w:rPr>
        <w:t xml:space="preserve">in de Commissie vertegenwoordigd </w:t>
      </w:r>
      <w:r w:rsidR="00322D7D" w:rsidRPr="00AE02C5">
        <w:rPr>
          <w:sz w:val="22"/>
          <w:lang w:val="nl-BE"/>
        </w:rPr>
        <w:t>r</w:t>
      </w:r>
      <w:r w:rsidR="00BB527A" w:rsidRPr="00AE02C5">
        <w:rPr>
          <w:sz w:val="22"/>
          <w:lang w:val="nl-BE"/>
        </w:rPr>
        <w:t>egeringslid</w:t>
      </w:r>
      <w:r w:rsidRPr="00AE02C5">
        <w:rPr>
          <w:sz w:val="22"/>
          <w:lang w:val="nl-BE"/>
        </w:rPr>
        <w:t>.</w:t>
      </w:r>
    </w:p>
    <w:p w14:paraId="0242E138" w14:textId="77777777" w:rsidR="008F7F81" w:rsidRPr="00AE02C5" w:rsidRDefault="008F7F81" w:rsidP="005B2861">
      <w:pPr>
        <w:pStyle w:val="Standaard1"/>
        <w:jc w:val="both"/>
        <w:rPr>
          <w:sz w:val="22"/>
          <w:lang w:val="nl-BE"/>
        </w:rPr>
      </w:pPr>
    </w:p>
    <w:p w14:paraId="41AD40BC" w14:textId="77777777" w:rsidR="008F7F81" w:rsidRPr="00AE02C5" w:rsidRDefault="008F7F81">
      <w:pPr>
        <w:pStyle w:val="Standaard1"/>
        <w:ind w:left="1416"/>
        <w:jc w:val="both"/>
        <w:rPr>
          <w:sz w:val="22"/>
          <w:lang w:val="nl-BE"/>
        </w:rPr>
      </w:pPr>
    </w:p>
    <w:p w14:paraId="372D52E4" w14:textId="2A202CA9" w:rsidR="00362416" w:rsidRPr="00AE02C5" w:rsidRDefault="007E6EB2" w:rsidP="00232390">
      <w:pPr>
        <w:pStyle w:val="Standaard1"/>
        <w:numPr>
          <w:ilvl w:val="0"/>
          <w:numId w:val="38"/>
        </w:numPr>
        <w:jc w:val="both"/>
        <w:rPr>
          <w:i/>
          <w:sz w:val="22"/>
          <w:lang w:val="nl-BE"/>
        </w:rPr>
      </w:pPr>
      <w:r w:rsidRPr="00AE02C5">
        <w:rPr>
          <w:i/>
          <w:sz w:val="22"/>
          <w:lang w:val="nl-BE"/>
        </w:rPr>
        <w:t>Werking</w:t>
      </w:r>
    </w:p>
    <w:p w14:paraId="03D85D12" w14:textId="3FC0CD68" w:rsidR="0005390C" w:rsidRPr="00AE02C5" w:rsidRDefault="0005390C" w:rsidP="009D1846">
      <w:pPr>
        <w:pStyle w:val="Standaard1"/>
        <w:jc w:val="both"/>
        <w:rPr>
          <w:sz w:val="22"/>
          <w:lang w:val="nl-BE"/>
        </w:rPr>
      </w:pPr>
    </w:p>
    <w:p w14:paraId="1E772414" w14:textId="27F66590" w:rsidR="0005390C" w:rsidRPr="00AE02C5" w:rsidRDefault="007E6EB2" w:rsidP="00232390">
      <w:pPr>
        <w:pStyle w:val="Standaard1"/>
        <w:ind w:left="1416"/>
        <w:jc w:val="both"/>
        <w:rPr>
          <w:sz w:val="22"/>
          <w:lang w:val="nl-BE"/>
        </w:rPr>
      </w:pPr>
      <w:r w:rsidRPr="00AE02C5">
        <w:rPr>
          <w:sz w:val="22"/>
          <w:lang w:val="nl-BE"/>
        </w:rPr>
        <w:t xml:space="preserve">In uitvoering van artikel </w:t>
      </w:r>
      <w:r w:rsidR="0005390C" w:rsidRPr="00AE02C5">
        <w:rPr>
          <w:sz w:val="22"/>
          <w:lang w:val="nl-BE"/>
        </w:rPr>
        <w:t>8</w:t>
      </w:r>
      <w:r w:rsidRPr="00AE02C5">
        <w:rPr>
          <w:sz w:val="22"/>
          <w:lang w:val="nl-BE"/>
        </w:rPr>
        <w:t xml:space="preserve"> van het koninklijk besluit van 6</w:t>
      </w:r>
      <w:r w:rsidR="0005390C" w:rsidRPr="00AE02C5">
        <w:rPr>
          <w:sz w:val="22"/>
          <w:lang w:val="nl-BE"/>
        </w:rPr>
        <w:t xml:space="preserve"> d</w:t>
      </w:r>
      <w:r w:rsidRPr="00AE02C5">
        <w:rPr>
          <w:sz w:val="22"/>
          <w:lang w:val="nl-BE"/>
        </w:rPr>
        <w:t>e</w:t>
      </w:r>
      <w:r w:rsidR="0005390C" w:rsidRPr="00AE02C5">
        <w:rPr>
          <w:sz w:val="22"/>
          <w:lang w:val="nl-BE"/>
        </w:rPr>
        <w:t>cemb</w:t>
      </w:r>
      <w:r w:rsidRPr="00AE02C5">
        <w:rPr>
          <w:sz w:val="22"/>
          <w:lang w:val="nl-BE"/>
        </w:rPr>
        <w:t>e</w:t>
      </w:r>
      <w:r w:rsidR="0005390C" w:rsidRPr="00AE02C5">
        <w:rPr>
          <w:sz w:val="22"/>
          <w:lang w:val="nl-BE"/>
        </w:rPr>
        <w:t>r 2000</w:t>
      </w:r>
      <w:r w:rsidRPr="00AE02C5">
        <w:rPr>
          <w:sz w:val="22"/>
          <w:lang w:val="nl-BE"/>
        </w:rPr>
        <w:t xml:space="preserve"> heeft de ICHR tijdens haar zitting van 14 september 2001 een Huishoudelijk Reglement aangenomen</w:t>
      </w:r>
      <w:r w:rsidR="0005390C" w:rsidRPr="00AE02C5">
        <w:rPr>
          <w:sz w:val="22"/>
          <w:lang w:val="nl-BE"/>
        </w:rPr>
        <w:t xml:space="preserve">. </w:t>
      </w:r>
      <w:r w:rsidRPr="00AE02C5">
        <w:rPr>
          <w:sz w:val="22"/>
          <w:lang w:val="nl-BE"/>
        </w:rPr>
        <w:t>Dat Reglement werd op 6 november 2001</w:t>
      </w:r>
      <w:r w:rsidR="00800258" w:rsidRPr="00AE02C5">
        <w:rPr>
          <w:sz w:val="22"/>
          <w:lang w:val="nl-BE"/>
        </w:rPr>
        <w:t xml:space="preserve"> goedgekeurd</w:t>
      </w:r>
      <w:r w:rsidRPr="00AE02C5">
        <w:rPr>
          <w:sz w:val="22"/>
          <w:lang w:val="nl-BE"/>
        </w:rPr>
        <w:t xml:space="preserve"> door de Minister van Buitenlandse Zaken</w:t>
      </w:r>
      <w:r w:rsidR="0005390C" w:rsidRPr="00AE02C5">
        <w:rPr>
          <w:sz w:val="22"/>
          <w:lang w:val="nl-BE"/>
        </w:rPr>
        <w:t xml:space="preserve">. </w:t>
      </w:r>
      <w:bookmarkStart w:id="27" w:name="_Hlk527018"/>
      <w:r w:rsidRPr="00AE02C5">
        <w:rPr>
          <w:sz w:val="22"/>
          <w:lang w:val="nl-BE"/>
        </w:rPr>
        <w:t>Op</w:t>
      </w:r>
      <w:r w:rsidR="0005390C" w:rsidRPr="00AE02C5" w:rsidDel="006625A7">
        <w:rPr>
          <w:sz w:val="22"/>
          <w:lang w:val="nl-BE"/>
        </w:rPr>
        <w:t xml:space="preserve"> 14 ma</w:t>
      </w:r>
      <w:r w:rsidRPr="00AE02C5">
        <w:rPr>
          <w:sz w:val="22"/>
          <w:lang w:val="nl-BE"/>
        </w:rPr>
        <w:t>a</w:t>
      </w:r>
      <w:r w:rsidR="0005390C" w:rsidRPr="00AE02C5" w:rsidDel="006625A7">
        <w:rPr>
          <w:sz w:val="22"/>
          <w:lang w:val="nl-BE"/>
        </w:rPr>
        <w:t>r</w:t>
      </w:r>
      <w:r w:rsidRPr="00AE02C5">
        <w:rPr>
          <w:sz w:val="22"/>
          <w:lang w:val="nl-BE"/>
        </w:rPr>
        <w:t>t</w:t>
      </w:r>
      <w:r w:rsidR="0005390C" w:rsidRPr="00AE02C5" w:rsidDel="006625A7">
        <w:rPr>
          <w:sz w:val="22"/>
          <w:lang w:val="nl-BE"/>
        </w:rPr>
        <w:t xml:space="preserve"> 2006</w:t>
      </w:r>
      <w:r w:rsidRPr="00AE02C5">
        <w:rPr>
          <w:sz w:val="22"/>
          <w:lang w:val="nl-BE"/>
        </w:rPr>
        <w:t xml:space="preserve"> heeft de ICHR een Werkmethode aangenomen</w:t>
      </w:r>
      <w:r w:rsidR="00304BDF" w:rsidRPr="00AE02C5">
        <w:rPr>
          <w:sz w:val="22"/>
          <w:lang w:val="nl-BE"/>
        </w:rPr>
        <w:t xml:space="preserve"> </w:t>
      </w:r>
      <w:bookmarkStart w:id="28" w:name="_Hlk536711314"/>
      <w:r w:rsidR="00304BDF" w:rsidRPr="00AE02C5">
        <w:rPr>
          <w:sz w:val="22"/>
          <w:lang w:val="nl-BE"/>
        </w:rPr>
        <w:t xml:space="preserve">betreffende de actualisering en goedkeuring van werkdocumenten </w:t>
      </w:r>
      <w:bookmarkEnd w:id="28"/>
      <w:r w:rsidR="00304BDF" w:rsidRPr="00AE02C5">
        <w:rPr>
          <w:sz w:val="22"/>
          <w:lang w:val="nl-BE"/>
        </w:rPr>
        <w:t>(zie mandaat).</w:t>
      </w:r>
    </w:p>
    <w:bookmarkEnd w:id="27"/>
    <w:p w14:paraId="5BAFD101" w14:textId="77777777" w:rsidR="0005390C" w:rsidRPr="00AE02C5" w:rsidRDefault="0005390C" w:rsidP="0005390C">
      <w:pPr>
        <w:pStyle w:val="Standaard1"/>
        <w:ind w:left="851"/>
        <w:jc w:val="both"/>
        <w:rPr>
          <w:sz w:val="22"/>
          <w:lang w:val="nl-BE"/>
        </w:rPr>
      </w:pPr>
    </w:p>
    <w:p w14:paraId="0C239633" w14:textId="0C0A4AA7" w:rsidR="00003E62" w:rsidRPr="00AE02C5" w:rsidRDefault="00304BDF" w:rsidP="00304BDF">
      <w:pPr>
        <w:numPr>
          <w:ilvl w:val="12"/>
          <w:numId w:val="0"/>
        </w:numPr>
        <w:ind w:left="1417" w:firstLine="1"/>
        <w:jc w:val="both"/>
        <w:rPr>
          <w:sz w:val="22"/>
          <w:lang w:val="nl-BE"/>
        </w:rPr>
      </w:pPr>
      <w:bookmarkStart w:id="29" w:name="_Hlk11148090"/>
      <w:r w:rsidRPr="00AE02C5">
        <w:rPr>
          <w:sz w:val="22"/>
          <w:lang w:val="nl-BE"/>
        </w:rPr>
        <w:t>De ICHR komt viermaal per jaar in voltallige zitting bijeen, maar functioneert</w:t>
      </w:r>
      <w:r w:rsidR="003D70A8" w:rsidRPr="00AE02C5">
        <w:rPr>
          <w:sz w:val="22"/>
          <w:lang w:val="nl-BE"/>
        </w:rPr>
        <w:t xml:space="preserve"> </w:t>
      </w:r>
      <w:r w:rsidRPr="00AE02C5">
        <w:rPr>
          <w:sz w:val="22"/>
          <w:lang w:val="nl-BE"/>
        </w:rPr>
        <w:t xml:space="preserve">hoofdzakelijk dankzij haar werkgroepen, die zich door </w:t>
      </w:r>
      <w:r w:rsidR="00D14CBE" w:rsidRPr="00AE02C5">
        <w:rPr>
          <w:sz w:val="22"/>
          <w:lang w:val="nl-BE"/>
        </w:rPr>
        <w:t>deskundigen</w:t>
      </w:r>
      <w:r w:rsidRPr="00AE02C5">
        <w:rPr>
          <w:sz w:val="22"/>
          <w:lang w:val="nl-BE"/>
        </w:rPr>
        <w:t xml:space="preserve"> kunnen laten bijstaan. Deze werkgroepen maken een grondige analyse van de vraagstukken</w:t>
      </w:r>
      <w:r w:rsidR="00D14CBE" w:rsidRPr="00AE02C5">
        <w:rPr>
          <w:sz w:val="22"/>
          <w:lang w:val="nl-BE"/>
        </w:rPr>
        <w:t xml:space="preserve">. Vervolgens brengen ze verslag uit </w:t>
      </w:r>
      <w:r w:rsidRPr="00AE02C5">
        <w:rPr>
          <w:sz w:val="22"/>
          <w:lang w:val="nl-BE"/>
        </w:rPr>
        <w:t xml:space="preserve">en dienen </w:t>
      </w:r>
      <w:r w:rsidR="00D14CBE" w:rsidRPr="00AE02C5">
        <w:rPr>
          <w:sz w:val="22"/>
          <w:lang w:val="nl-BE"/>
        </w:rPr>
        <w:t xml:space="preserve">ze </w:t>
      </w:r>
      <w:r w:rsidRPr="00AE02C5">
        <w:rPr>
          <w:sz w:val="22"/>
          <w:lang w:val="nl-BE"/>
        </w:rPr>
        <w:t xml:space="preserve">voorstellen in bij de voltallige vergadering van de ICHR. Die onderzoekt de verslagen en voorstellen, amendeert ze indien nodig, </w:t>
      </w:r>
      <w:r w:rsidR="00D14CBE" w:rsidRPr="00AE02C5">
        <w:rPr>
          <w:sz w:val="22"/>
          <w:lang w:val="nl-BE"/>
        </w:rPr>
        <w:t xml:space="preserve">en </w:t>
      </w:r>
      <w:r w:rsidRPr="00AE02C5">
        <w:rPr>
          <w:sz w:val="22"/>
          <w:lang w:val="nl-BE"/>
        </w:rPr>
        <w:lastRenderedPageBreak/>
        <w:t xml:space="preserve">keurt ze </w:t>
      </w:r>
      <w:r w:rsidR="00D14CBE" w:rsidRPr="00AE02C5">
        <w:rPr>
          <w:sz w:val="22"/>
          <w:lang w:val="nl-BE"/>
        </w:rPr>
        <w:t>vervolgens</w:t>
      </w:r>
      <w:r w:rsidRPr="00AE02C5">
        <w:rPr>
          <w:sz w:val="22"/>
          <w:lang w:val="nl-BE"/>
        </w:rPr>
        <w:t xml:space="preserve"> goed </w:t>
      </w:r>
      <w:r w:rsidR="00A045B9" w:rsidRPr="00AE02C5">
        <w:rPr>
          <w:sz w:val="22"/>
          <w:lang w:val="nl-BE"/>
        </w:rPr>
        <w:t>alvorens</w:t>
      </w:r>
      <w:r w:rsidRPr="00AE02C5">
        <w:rPr>
          <w:sz w:val="22"/>
          <w:lang w:val="nl-BE"/>
        </w:rPr>
        <w:t xml:space="preserve"> ze aan de bevoegde autoriteiten voor te leggen. Deze werk</w:t>
      </w:r>
      <w:r w:rsidR="00EE54B7" w:rsidRPr="00AE02C5">
        <w:rPr>
          <w:sz w:val="22"/>
          <w:lang w:val="nl-BE"/>
        </w:rPr>
        <w:t>methode</w:t>
      </w:r>
      <w:r w:rsidRPr="00AE02C5">
        <w:rPr>
          <w:sz w:val="22"/>
          <w:lang w:val="nl-BE"/>
        </w:rPr>
        <w:t xml:space="preserve"> maakt het mogelijk </w:t>
      </w:r>
      <w:r w:rsidR="005F691B" w:rsidRPr="00AE02C5">
        <w:rPr>
          <w:sz w:val="22"/>
          <w:lang w:val="nl-BE"/>
        </w:rPr>
        <w:t xml:space="preserve">om de actualiteit </w:t>
      </w:r>
      <w:r w:rsidRPr="00AE02C5">
        <w:rPr>
          <w:sz w:val="22"/>
          <w:lang w:val="nl-BE"/>
        </w:rPr>
        <w:t xml:space="preserve">sneller op te volgen en er gepast op te reageren. </w:t>
      </w:r>
    </w:p>
    <w:p w14:paraId="7CCD313A" w14:textId="77777777" w:rsidR="00003E62" w:rsidRPr="00AE02C5" w:rsidRDefault="00003E62" w:rsidP="00304BDF">
      <w:pPr>
        <w:numPr>
          <w:ilvl w:val="12"/>
          <w:numId w:val="0"/>
        </w:numPr>
        <w:ind w:left="1417" w:firstLine="1"/>
        <w:jc w:val="both"/>
        <w:rPr>
          <w:sz w:val="22"/>
          <w:lang w:val="nl-BE"/>
        </w:rPr>
      </w:pPr>
    </w:p>
    <w:p w14:paraId="2DEF1DF2" w14:textId="4926AD93" w:rsidR="006625A7" w:rsidRPr="00AE02C5" w:rsidRDefault="00304BDF" w:rsidP="00003E62">
      <w:pPr>
        <w:numPr>
          <w:ilvl w:val="12"/>
          <w:numId w:val="0"/>
        </w:numPr>
        <w:ind w:left="1417" w:firstLine="1"/>
        <w:jc w:val="both"/>
        <w:rPr>
          <w:sz w:val="22"/>
          <w:lang w:val="nl-BE"/>
        </w:rPr>
      </w:pPr>
      <w:bookmarkStart w:id="30" w:name="_Hlk11148137"/>
      <w:bookmarkEnd w:id="29"/>
      <w:r w:rsidRPr="00AE02C5">
        <w:rPr>
          <w:sz w:val="22"/>
          <w:lang w:val="nl-BE"/>
        </w:rPr>
        <w:t xml:space="preserve">De ICHR telt </w:t>
      </w:r>
      <w:r w:rsidR="00003E62" w:rsidRPr="00AE02C5">
        <w:rPr>
          <w:sz w:val="22"/>
          <w:lang w:val="nl-BE"/>
        </w:rPr>
        <w:t>vandaag</w:t>
      </w:r>
      <w:r w:rsidRPr="00AE02C5">
        <w:rPr>
          <w:sz w:val="22"/>
          <w:lang w:val="nl-BE"/>
        </w:rPr>
        <w:t xml:space="preserve"> zes</w:t>
      </w:r>
      <w:r w:rsidR="00F4793B" w:rsidRPr="00AE02C5">
        <w:rPr>
          <w:sz w:val="22"/>
          <w:lang w:val="nl-BE"/>
        </w:rPr>
        <w:t xml:space="preserve"> permanente</w:t>
      </w:r>
      <w:r w:rsidRPr="00AE02C5">
        <w:rPr>
          <w:sz w:val="22"/>
          <w:lang w:val="nl-BE"/>
        </w:rPr>
        <w:t xml:space="preserve"> werkgroepen</w:t>
      </w:r>
      <w:r w:rsidR="00A474ED" w:rsidRPr="00AE02C5">
        <w:rPr>
          <w:sz w:val="22"/>
          <w:lang w:val="nl-BE"/>
        </w:rPr>
        <w:t xml:space="preserve"> met de volgende benamingen</w:t>
      </w:r>
      <w:r w:rsidRPr="00AE02C5">
        <w:rPr>
          <w:sz w:val="22"/>
          <w:lang w:val="nl-BE"/>
        </w:rPr>
        <w:t xml:space="preserve">: </w:t>
      </w:r>
      <w:r w:rsidR="00003E62" w:rsidRPr="00AE02C5">
        <w:rPr>
          <w:sz w:val="22"/>
          <w:lang w:val="nl-BE"/>
        </w:rPr>
        <w:t>“</w:t>
      </w:r>
      <w:r w:rsidR="00BB527A" w:rsidRPr="00AE02C5">
        <w:rPr>
          <w:sz w:val="22"/>
          <w:lang w:val="nl-BE"/>
        </w:rPr>
        <w:t>V</w:t>
      </w:r>
      <w:r w:rsidRPr="00AE02C5">
        <w:rPr>
          <w:sz w:val="22"/>
          <w:lang w:val="nl-BE"/>
        </w:rPr>
        <w:t xml:space="preserve">erspreiding van het </w:t>
      </w:r>
      <w:r w:rsidR="00003E62" w:rsidRPr="00AE02C5">
        <w:rPr>
          <w:sz w:val="22"/>
          <w:lang w:val="nl-BE"/>
        </w:rPr>
        <w:t xml:space="preserve">internationaal </w:t>
      </w:r>
      <w:r w:rsidRPr="00AE02C5">
        <w:rPr>
          <w:sz w:val="22"/>
          <w:lang w:val="nl-BE"/>
        </w:rPr>
        <w:t>humanitair recht</w:t>
      </w:r>
      <w:r w:rsidR="00003E62" w:rsidRPr="00AE02C5">
        <w:rPr>
          <w:sz w:val="22"/>
          <w:lang w:val="nl-BE"/>
        </w:rPr>
        <w:t>”; “</w:t>
      </w:r>
      <w:r w:rsidR="00BB527A" w:rsidRPr="00AE02C5">
        <w:rPr>
          <w:sz w:val="22"/>
          <w:lang w:val="nl-BE"/>
        </w:rPr>
        <w:t>B</w:t>
      </w:r>
      <w:r w:rsidRPr="00AE02C5">
        <w:rPr>
          <w:sz w:val="22"/>
          <w:lang w:val="nl-BE"/>
        </w:rPr>
        <w:t>escherming van culturele goederen in geval van een gewapend conflict</w:t>
      </w:r>
      <w:r w:rsidR="00003E62" w:rsidRPr="00AE02C5">
        <w:rPr>
          <w:sz w:val="22"/>
          <w:lang w:val="nl-BE"/>
        </w:rPr>
        <w:t>”; “Wetgeving”</w:t>
      </w:r>
      <w:r w:rsidR="00905AFA" w:rsidRPr="00AE02C5">
        <w:rPr>
          <w:sz w:val="22"/>
          <w:lang w:val="nl-BE"/>
        </w:rPr>
        <w:t>;</w:t>
      </w:r>
      <w:r w:rsidR="00003E62" w:rsidRPr="00AE02C5">
        <w:rPr>
          <w:sz w:val="22"/>
          <w:lang w:val="nl-BE"/>
        </w:rPr>
        <w:t xml:space="preserve"> “C</w:t>
      </w:r>
      <w:r w:rsidRPr="00AE02C5">
        <w:rPr>
          <w:sz w:val="22"/>
          <w:lang w:val="nl-BE"/>
        </w:rPr>
        <w:t>ommunicatie</w:t>
      </w:r>
      <w:r w:rsidR="00003E62" w:rsidRPr="00AE02C5">
        <w:rPr>
          <w:sz w:val="22"/>
          <w:lang w:val="nl-BE"/>
        </w:rPr>
        <w:t>”; “I</w:t>
      </w:r>
      <w:r w:rsidRPr="00AE02C5">
        <w:rPr>
          <w:sz w:val="22"/>
          <w:lang w:val="nl-BE"/>
        </w:rPr>
        <w:t>nternationale Conferenties van het Rode Kruis en de Rode Halve Maan</w:t>
      </w:r>
      <w:r w:rsidR="00003E62" w:rsidRPr="00AE02C5">
        <w:rPr>
          <w:sz w:val="22"/>
          <w:lang w:val="nl-BE"/>
        </w:rPr>
        <w:t>” en “N</w:t>
      </w:r>
      <w:r w:rsidRPr="00AE02C5">
        <w:rPr>
          <w:sz w:val="22"/>
          <w:lang w:val="nl-BE"/>
        </w:rPr>
        <w:t>ationaal Inlichtingenbureau</w:t>
      </w:r>
      <w:r w:rsidR="00003E62" w:rsidRPr="00AE02C5">
        <w:rPr>
          <w:sz w:val="22"/>
          <w:lang w:val="nl-BE"/>
        </w:rPr>
        <w:t>”.</w:t>
      </w:r>
      <w:r w:rsidR="0005390C" w:rsidRPr="00AE02C5">
        <w:rPr>
          <w:sz w:val="22"/>
          <w:lang w:val="nl-BE"/>
        </w:rPr>
        <w:t xml:space="preserve"> </w:t>
      </w:r>
    </w:p>
    <w:p w14:paraId="6BDDCE05" w14:textId="00AD4FB1" w:rsidR="00F4793B" w:rsidRPr="00AE02C5" w:rsidRDefault="00F4793B" w:rsidP="00003E62">
      <w:pPr>
        <w:numPr>
          <w:ilvl w:val="12"/>
          <w:numId w:val="0"/>
        </w:numPr>
        <w:ind w:left="1417" w:firstLine="1"/>
        <w:jc w:val="both"/>
        <w:rPr>
          <w:sz w:val="22"/>
          <w:lang w:val="nl-BE"/>
        </w:rPr>
      </w:pPr>
    </w:p>
    <w:p w14:paraId="13D6D9E6" w14:textId="232C107E" w:rsidR="00F4793B" w:rsidRPr="00AE02C5" w:rsidRDefault="00F4793B" w:rsidP="00003E62">
      <w:pPr>
        <w:numPr>
          <w:ilvl w:val="12"/>
          <w:numId w:val="0"/>
        </w:numPr>
        <w:ind w:left="1417" w:firstLine="1"/>
        <w:jc w:val="both"/>
        <w:rPr>
          <w:sz w:val="22"/>
          <w:lang w:val="nl-BE"/>
        </w:rPr>
      </w:pPr>
      <w:r w:rsidRPr="00AE02C5">
        <w:rPr>
          <w:sz w:val="22"/>
          <w:lang w:val="nl-BE"/>
        </w:rPr>
        <w:t>Bovendien werd in 2018 een ad-hoc werkgroep betreffende het nationale regelgevingskader voor gezondheidszorg in noodsituaties opgericht om de goede uitvoering te waarborgen van een verbintenis die België en de Nationale Vereniging over deze kwestie zijn aangegaan tijdens de 32de Internationale Conferentie van het Rode Kruis en de Rode Halve Maan van 2015. Deze verbintenis heeft tot doel de wettelijke en reglementaire bepalingen te identificeren die moeten worden versterkt met betrekking tot het internationaal humanitair recht en het internationaal recht inzake de mensenrechten, en indien nodig voorstellen te formuleren. Deze werkgroep zal haar activiteiten stopzetten wanneer de verbintenis zal zijn uitgevoerd.</w:t>
      </w:r>
    </w:p>
    <w:bookmarkEnd w:id="30"/>
    <w:p w14:paraId="76683514" w14:textId="77777777" w:rsidR="006625A7" w:rsidRPr="00AE02C5" w:rsidRDefault="006625A7" w:rsidP="00232390">
      <w:pPr>
        <w:pStyle w:val="Standaard1"/>
        <w:ind w:left="1416"/>
        <w:jc w:val="both"/>
        <w:rPr>
          <w:sz w:val="22"/>
          <w:lang w:val="nl-BE"/>
        </w:rPr>
      </w:pPr>
    </w:p>
    <w:p w14:paraId="7BCA0546" w14:textId="1EE8F0DC" w:rsidR="00AA2880" w:rsidRPr="00AE02C5" w:rsidRDefault="00905AFA" w:rsidP="00232390">
      <w:pPr>
        <w:pStyle w:val="Standaard1"/>
        <w:ind w:left="1416" w:firstLine="24"/>
        <w:jc w:val="both"/>
        <w:rPr>
          <w:sz w:val="22"/>
          <w:lang w:val="nl-BE"/>
        </w:rPr>
      </w:pPr>
      <w:r w:rsidRPr="00AE02C5">
        <w:rPr>
          <w:sz w:val="22"/>
          <w:lang w:val="nl-BE"/>
        </w:rPr>
        <w:t>Verder stelt de Commissie</w:t>
      </w:r>
      <w:r w:rsidR="007646C3" w:rsidRPr="00AE02C5">
        <w:rPr>
          <w:sz w:val="22"/>
          <w:lang w:val="nl-BE"/>
        </w:rPr>
        <w:t xml:space="preserve"> jaar</w:t>
      </w:r>
      <w:r w:rsidRPr="00AE02C5">
        <w:rPr>
          <w:sz w:val="22"/>
          <w:lang w:val="nl-BE"/>
        </w:rPr>
        <w:t>lijks</w:t>
      </w:r>
      <w:r w:rsidR="007646C3" w:rsidRPr="00AE02C5">
        <w:rPr>
          <w:sz w:val="22"/>
          <w:lang w:val="nl-BE"/>
        </w:rPr>
        <w:t xml:space="preserve"> een ontwerp</w:t>
      </w:r>
      <w:r w:rsidR="00DC0B86" w:rsidRPr="00AE02C5">
        <w:rPr>
          <w:sz w:val="22"/>
          <w:lang w:val="nl-BE"/>
        </w:rPr>
        <w:t xml:space="preserve">verslag van de werkzaamheden </w:t>
      </w:r>
      <w:r w:rsidR="007646C3" w:rsidRPr="00AE02C5">
        <w:rPr>
          <w:sz w:val="22"/>
          <w:lang w:val="nl-BE"/>
        </w:rPr>
        <w:t xml:space="preserve">op </w:t>
      </w:r>
      <w:r w:rsidR="00F94BA4" w:rsidRPr="00AE02C5">
        <w:rPr>
          <w:sz w:val="22"/>
          <w:lang w:val="nl-BE"/>
        </w:rPr>
        <w:t>dat</w:t>
      </w:r>
      <w:r w:rsidR="007646C3" w:rsidRPr="00AE02C5">
        <w:rPr>
          <w:sz w:val="22"/>
          <w:lang w:val="nl-BE"/>
        </w:rPr>
        <w:t xml:space="preserve">, </w:t>
      </w:r>
      <w:r w:rsidR="00B7585A" w:rsidRPr="00AE02C5">
        <w:rPr>
          <w:sz w:val="22"/>
          <w:lang w:val="nl-BE"/>
        </w:rPr>
        <w:t>zo nodig</w:t>
      </w:r>
      <w:r w:rsidR="007646C3" w:rsidRPr="00AE02C5">
        <w:rPr>
          <w:sz w:val="22"/>
          <w:lang w:val="nl-BE"/>
        </w:rPr>
        <w:t xml:space="preserve">, </w:t>
      </w:r>
      <w:r w:rsidR="00B7585A" w:rsidRPr="00AE02C5">
        <w:rPr>
          <w:sz w:val="22"/>
          <w:lang w:val="nl-BE"/>
        </w:rPr>
        <w:t xml:space="preserve">algemene </w:t>
      </w:r>
      <w:r w:rsidR="007646C3" w:rsidRPr="00AE02C5">
        <w:rPr>
          <w:sz w:val="22"/>
          <w:lang w:val="nl-BE"/>
        </w:rPr>
        <w:t>besluiten en voorstellen</w:t>
      </w:r>
      <w:r w:rsidR="00DC0B86" w:rsidRPr="00AE02C5">
        <w:rPr>
          <w:sz w:val="22"/>
          <w:lang w:val="nl-BE"/>
        </w:rPr>
        <w:t xml:space="preserve"> </w:t>
      </w:r>
      <w:r w:rsidR="00F94BA4" w:rsidRPr="00AE02C5">
        <w:rPr>
          <w:sz w:val="22"/>
          <w:lang w:val="nl-BE"/>
        </w:rPr>
        <w:t>bevat</w:t>
      </w:r>
      <w:r w:rsidR="006507B4" w:rsidRPr="00AE02C5">
        <w:rPr>
          <w:sz w:val="22"/>
          <w:lang w:val="nl-BE"/>
        </w:rPr>
        <w:t>. Di</w:t>
      </w:r>
      <w:r w:rsidR="007646C3" w:rsidRPr="00AE02C5">
        <w:rPr>
          <w:sz w:val="22"/>
          <w:lang w:val="nl-BE"/>
        </w:rPr>
        <w:t xml:space="preserve">t ontwerp </w:t>
      </w:r>
      <w:r w:rsidR="006507B4" w:rsidRPr="00AE02C5">
        <w:rPr>
          <w:sz w:val="22"/>
          <w:lang w:val="nl-BE"/>
        </w:rPr>
        <w:t>wordt</w:t>
      </w:r>
      <w:r w:rsidR="00DC0B86" w:rsidRPr="00AE02C5">
        <w:rPr>
          <w:sz w:val="22"/>
          <w:lang w:val="nl-BE"/>
        </w:rPr>
        <w:t xml:space="preserve"> aan de leden van de Commissie</w:t>
      </w:r>
      <w:r w:rsidR="006507B4" w:rsidRPr="00AE02C5">
        <w:rPr>
          <w:sz w:val="22"/>
          <w:lang w:val="nl-BE"/>
        </w:rPr>
        <w:t xml:space="preserve"> voorgelegd een</w:t>
      </w:r>
      <w:r w:rsidR="007646C3" w:rsidRPr="00AE02C5">
        <w:rPr>
          <w:sz w:val="22"/>
          <w:lang w:val="nl-BE"/>
        </w:rPr>
        <w:t xml:space="preserve"> maand voor de vergadering</w:t>
      </w:r>
      <w:r w:rsidR="006507B4" w:rsidRPr="00AE02C5">
        <w:rPr>
          <w:sz w:val="22"/>
          <w:lang w:val="nl-BE"/>
        </w:rPr>
        <w:t xml:space="preserve"> </w:t>
      </w:r>
      <w:r w:rsidR="00F94BA4" w:rsidRPr="00AE02C5">
        <w:rPr>
          <w:sz w:val="22"/>
          <w:lang w:val="nl-BE"/>
        </w:rPr>
        <w:t>waarop het zal worden aangenomen</w:t>
      </w:r>
      <w:r w:rsidR="00243192" w:rsidRPr="00AE02C5">
        <w:rPr>
          <w:sz w:val="22"/>
          <w:lang w:val="nl-BE"/>
        </w:rPr>
        <w:t>.</w:t>
      </w:r>
    </w:p>
    <w:p w14:paraId="595737AE" w14:textId="3CF9D0F2" w:rsidR="009D1846" w:rsidRPr="00AE02C5" w:rsidRDefault="009D1846" w:rsidP="00232390">
      <w:pPr>
        <w:pStyle w:val="Standaard1"/>
        <w:ind w:left="1416" w:firstLine="24"/>
        <w:jc w:val="both"/>
        <w:rPr>
          <w:sz w:val="22"/>
          <w:lang w:val="nl-BE"/>
        </w:rPr>
      </w:pPr>
    </w:p>
    <w:p w14:paraId="29567B34" w14:textId="7A354099" w:rsidR="00243192" w:rsidRPr="00AE02C5" w:rsidRDefault="00243192" w:rsidP="00232390">
      <w:pPr>
        <w:pStyle w:val="Standaard1"/>
        <w:ind w:left="1416" w:firstLine="24"/>
        <w:jc w:val="both"/>
        <w:rPr>
          <w:sz w:val="22"/>
          <w:lang w:val="nl-BE"/>
        </w:rPr>
      </w:pPr>
    </w:p>
    <w:p w14:paraId="36BC8244" w14:textId="16B389B6" w:rsidR="0005390C" w:rsidRPr="00AE02C5" w:rsidRDefault="007646C3" w:rsidP="00232390">
      <w:pPr>
        <w:pStyle w:val="Standaard1"/>
        <w:numPr>
          <w:ilvl w:val="0"/>
          <w:numId w:val="34"/>
        </w:numPr>
        <w:jc w:val="both"/>
        <w:rPr>
          <w:b/>
          <w:sz w:val="22"/>
          <w:lang w:val="nl-BE"/>
        </w:rPr>
      </w:pPr>
      <w:r w:rsidRPr="00AE02C5">
        <w:rPr>
          <w:b/>
          <w:sz w:val="22"/>
          <w:lang w:val="nl-BE"/>
        </w:rPr>
        <w:t>Activiteiten van de ICHR</w:t>
      </w:r>
    </w:p>
    <w:p w14:paraId="6B2FA5C9" w14:textId="77777777" w:rsidR="00CD0982" w:rsidRPr="00AE02C5" w:rsidRDefault="00CD0982" w:rsidP="00232390">
      <w:pPr>
        <w:pStyle w:val="Standaard1"/>
        <w:ind w:left="1776"/>
        <w:jc w:val="both"/>
        <w:rPr>
          <w:sz w:val="22"/>
          <w:lang w:val="nl-BE"/>
        </w:rPr>
      </w:pPr>
    </w:p>
    <w:p w14:paraId="78DE3F98" w14:textId="689A6F8D" w:rsidR="0005390C" w:rsidRPr="00AE02C5" w:rsidRDefault="007646C3" w:rsidP="00232390">
      <w:pPr>
        <w:pStyle w:val="Standaard1"/>
        <w:numPr>
          <w:ilvl w:val="0"/>
          <w:numId w:val="35"/>
        </w:numPr>
        <w:jc w:val="both"/>
        <w:rPr>
          <w:sz w:val="22"/>
          <w:lang w:val="nl-BE"/>
        </w:rPr>
      </w:pPr>
      <w:r w:rsidRPr="00AE02C5">
        <w:rPr>
          <w:sz w:val="22"/>
          <w:lang w:val="nl-BE"/>
        </w:rPr>
        <w:t xml:space="preserve">Als adviesorgaan van de </w:t>
      </w:r>
      <w:r w:rsidR="00B7585A" w:rsidRPr="00AE02C5">
        <w:rPr>
          <w:sz w:val="22"/>
          <w:lang w:val="nl-BE"/>
        </w:rPr>
        <w:t>r</w:t>
      </w:r>
      <w:r w:rsidRPr="00AE02C5">
        <w:rPr>
          <w:sz w:val="22"/>
          <w:lang w:val="nl-BE"/>
        </w:rPr>
        <w:t>egering</w:t>
      </w:r>
    </w:p>
    <w:p w14:paraId="325A27E5" w14:textId="77777777" w:rsidR="00CD0982" w:rsidRPr="00AE02C5" w:rsidRDefault="00CD0982" w:rsidP="00232390">
      <w:pPr>
        <w:pStyle w:val="Standaard1"/>
        <w:ind w:left="1776"/>
        <w:jc w:val="both"/>
        <w:rPr>
          <w:sz w:val="22"/>
          <w:lang w:val="nl-BE"/>
        </w:rPr>
      </w:pPr>
    </w:p>
    <w:p w14:paraId="364C0A14" w14:textId="6D389CDA" w:rsidR="00ED3396" w:rsidRPr="00AE02C5" w:rsidRDefault="007646C3">
      <w:pPr>
        <w:pStyle w:val="Standaard1"/>
        <w:ind w:left="1416"/>
        <w:jc w:val="both"/>
        <w:rPr>
          <w:sz w:val="22"/>
          <w:lang w:val="nl-BE"/>
        </w:rPr>
      </w:pPr>
      <w:r w:rsidRPr="00AE02C5">
        <w:rPr>
          <w:sz w:val="22"/>
          <w:lang w:val="nl-BE"/>
        </w:rPr>
        <w:t>De</w:t>
      </w:r>
      <w:r w:rsidR="00ED3396" w:rsidRPr="00AE02C5">
        <w:rPr>
          <w:sz w:val="22"/>
          <w:lang w:val="nl-BE"/>
        </w:rPr>
        <w:t xml:space="preserve"> </w:t>
      </w:r>
      <w:r w:rsidRPr="00AE02C5">
        <w:rPr>
          <w:sz w:val="22"/>
          <w:lang w:val="nl-BE"/>
        </w:rPr>
        <w:t xml:space="preserve">ICHR heeft </w:t>
      </w:r>
      <w:r w:rsidR="00B64AC0" w:rsidRPr="00AE02C5">
        <w:rPr>
          <w:sz w:val="22"/>
          <w:lang w:val="nl-BE"/>
        </w:rPr>
        <w:t xml:space="preserve">meermaals gebruik gemaakt van </w:t>
      </w:r>
      <w:r w:rsidRPr="00AE02C5">
        <w:rPr>
          <w:sz w:val="22"/>
          <w:lang w:val="nl-BE"/>
        </w:rPr>
        <w:t xml:space="preserve">haar mandaat </w:t>
      </w:r>
      <w:r w:rsidR="00A4469A" w:rsidRPr="00AE02C5">
        <w:rPr>
          <w:sz w:val="22"/>
          <w:lang w:val="nl-BE"/>
        </w:rPr>
        <w:t>als</w:t>
      </w:r>
      <w:r w:rsidRPr="00AE02C5">
        <w:rPr>
          <w:sz w:val="22"/>
          <w:lang w:val="nl-BE"/>
        </w:rPr>
        <w:t xml:space="preserve"> adviesorgaan van de </w:t>
      </w:r>
      <w:r w:rsidR="00B7585A" w:rsidRPr="00AE02C5">
        <w:rPr>
          <w:sz w:val="22"/>
          <w:lang w:val="nl-BE"/>
        </w:rPr>
        <w:t>r</w:t>
      </w:r>
      <w:r w:rsidRPr="00AE02C5">
        <w:rPr>
          <w:sz w:val="22"/>
          <w:lang w:val="nl-BE"/>
        </w:rPr>
        <w:t>egering</w:t>
      </w:r>
      <w:r w:rsidR="00ED3396" w:rsidRPr="00AE02C5">
        <w:rPr>
          <w:sz w:val="22"/>
          <w:lang w:val="nl-BE"/>
        </w:rPr>
        <w:t>:</w:t>
      </w:r>
    </w:p>
    <w:p w14:paraId="1E2B745D" w14:textId="77777777" w:rsidR="00ED3396" w:rsidRPr="00AE02C5" w:rsidRDefault="00ED3396">
      <w:pPr>
        <w:pStyle w:val="Standaard1"/>
        <w:ind w:left="1416"/>
        <w:jc w:val="both"/>
        <w:rPr>
          <w:sz w:val="22"/>
          <w:lang w:val="nl-BE"/>
        </w:rPr>
      </w:pPr>
    </w:p>
    <w:p w14:paraId="041BD820" w14:textId="2182CBD2" w:rsidR="00ED3396" w:rsidRPr="00AE02C5" w:rsidRDefault="00D303D0" w:rsidP="00D303D0">
      <w:pPr>
        <w:pStyle w:val="BodyTextIndent3"/>
        <w:numPr>
          <w:ilvl w:val="0"/>
          <w:numId w:val="2"/>
        </w:numPr>
        <w:tabs>
          <w:tab w:val="clear" w:pos="851"/>
          <w:tab w:val="clear" w:pos="2127"/>
          <w:tab w:val="clear" w:pos="2268"/>
          <w:tab w:val="num" w:pos="1778"/>
        </w:tabs>
        <w:rPr>
          <w:sz w:val="22"/>
          <w:lang w:val="nl-BE"/>
        </w:rPr>
      </w:pPr>
      <w:r w:rsidRPr="00AE02C5">
        <w:rPr>
          <w:sz w:val="22"/>
          <w:lang w:val="nl-BE"/>
        </w:rPr>
        <w:t>door actief mee te werken aan de voorbereiding van de Belgische deelname aan de Internationale Conferenties van het Rode Kruis en de Rode Halve Maan</w:t>
      </w:r>
      <w:r w:rsidR="00D17CED" w:rsidRPr="00AE02C5">
        <w:rPr>
          <w:sz w:val="22"/>
          <w:lang w:val="nl-BE"/>
        </w:rPr>
        <w:t>,</w:t>
      </w:r>
      <w:r w:rsidRPr="00AE02C5">
        <w:rPr>
          <w:sz w:val="22"/>
          <w:lang w:val="nl-BE"/>
        </w:rPr>
        <w:t xml:space="preserve"> die om de vier jaar plaatsvinden in Genève</w:t>
      </w:r>
      <w:r w:rsidR="00D17CED" w:rsidRPr="00AE02C5">
        <w:rPr>
          <w:sz w:val="22"/>
          <w:lang w:val="nl-BE"/>
        </w:rPr>
        <w:t>,</w:t>
      </w:r>
      <w:r w:rsidRPr="00AE02C5">
        <w:rPr>
          <w:sz w:val="22"/>
          <w:lang w:val="nl-BE"/>
        </w:rPr>
        <w:t xml:space="preserve"> en aan de opvolging ervan via </w:t>
      </w:r>
      <w:r w:rsidR="00F94BA4" w:rsidRPr="00AE02C5">
        <w:rPr>
          <w:sz w:val="22"/>
          <w:lang w:val="nl-BE"/>
        </w:rPr>
        <w:t>een</w:t>
      </w:r>
      <w:r w:rsidRPr="00AE02C5">
        <w:rPr>
          <w:sz w:val="22"/>
          <w:lang w:val="nl-BE"/>
        </w:rPr>
        <w:t xml:space="preserve"> regelmatige analyse van de stand van de zaken van de beslissingen (resoluties en verbintenissen) en de </w:t>
      </w:r>
      <w:r w:rsidR="00D17CED" w:rsidRPr="00AE02C5">
        <w:rPr>
          <w:sz w:val="22"/>
          <w:lang w:val="nl-BE"/>
        </w:rPr>
        <w:t>opmaak</w:t>
      </w:r>
      <w:r w:rsidRPr="00AE02C5">
        <w:rPr>
          <w:sz w:val="22"/>
          <w:lang w:val="nl-BE"/>
        </w:rPr>
        <w:t xml:space="preserve"> van tussentijdse en eind</w:t>
      </w:r>
      <w:r w:rsidR="00D17CED" w:rsidRPr="00AE02C5">
        <w:rPr>
          <w:sz w:val="22"/>
          <w:lang w:val="nl-BE"/>
        </w:rPr>
        <w:t>rapporten</w:t>
      </w:r>
      <w:r w:rsidRPr="00AE02C5">
        <w:rPr>
          <w:sz w:val="22"/>
          <w:lang w:val="nl-BE"/>
        </w:rPr>
        <w:t>;</w:t>
      </w:r>
    </w:p>
    <w:p w14:paraId="47434ED0" w14:textId="77777777" w:rsidR="008A429E" w:rsidRPr="00AE02C5" w:rsidRDefault="008A429E" w:rsidP="00232390">
      <w:pPr>
        <w:pStyle w:val="Standaard1"/>
        <w:tabs>
          <w:tab w:val="left" w:pos="2127"/>
        </w:tabs>
        <w:ind w:left="2127"/>
        <w:jc w:val="both"/>
        <w:rPr>
          <w:sz w:val="22"/>
          <w:lang w:val="nl-BE"/>
        </w:rPr>
      </w:pPr>
    </w:p>
    <w:p w14:paraId="28389B1E" w14:textId="066645C4" w:rsidR="008A429E" w:rsidRPr="00AE02C5" w:rsidRDefault="00052B63" w:rsidP="008A429E">
      <w:pPr>
        <w:pStyle w:val="Standaard1"/>
        <w:numPr>
          <w:ilvl w:val="0"/>
          <w:numId w:val="2"/>
        </w:numPr>
        <w:tabs>
          <w:tab w:val="left" w:pos="2127"/>
        </w:tabs>
        <w:jc w:val="both"/>
        <w:rPr>
          <w:sz w:val="22"/>
          <w:lang w:val="nl-BE"/>
        </w:rPr>
      </w:pPr>
      <w:r w:rsidRPr="00AE02C5">
        <w:rPr>
          <w:sz w:val="22"/>
          <w:lang w:val="nl-BE"/>
        </w:rPr>
        <w:t>door</w:t>
      </w:r>
      <w:r w:rsidR="00D17CED" w:rsidRPr="00AE02C5">
        <w:rPr>
          <w:sz w:val="22"/>
          <w:lang w:val="nl-BE"/>
        </w:rPr>
        <w:t>,</w:t>
      </w:r>
      <w:r w:rsidRPr="00AE02C5">
        <w:rPr>
          <w:sz w:val="22"/>
          <w:lang w:val="nl-BE"/>
        </w:rPr>
        <w:t xml:space="preserve"> op eigen initiatief of op verzoek</w:t>
      </w:r>
      <w:r w:rsidR="00D17CED" w:rsidRPr="00AE02C5">
        <w:rPr>
          <w:sz w:val="22"/>
          <w:lang w:val="nl-BE"/>
        </w:rPr>
        <w:t>,</w:t>
      </w:r>
      <w:r w:rsidRPr="00AE02C5">
        <w:rPr>
          <w:sz w:val="22"/>
          <w:lang w:val="nl-BE"/>
        </w:rPr>
        <w:t xml:space="preserve"> raadgevende adviezen en ontwerpen van voorontwerpen van wet betreffende</w:t>
      </w:r>
      <w:r w:rsidR="00DB754B" w:rsidRPr="00AE02C5">
        <w:rPr>
          <w:sz w:val="22"/>
          <w:lang w:val="nl-BE"/>
        </w:rPr>
        <w:t xml:space="preserve"> het</w:t>
      </w:r>
      <w:r w:rsidRPr="00AE02C5">
        <w:rPr>
          <w:sz w:val="22"/>
          <w:lang w:val="nl-BE"/>
        </w:rPr>
        <w:t xml:space="preserve"> internationaal humanitair recht </w:t>
      </w:r>
      <w:r w:rsidR="00BB527A" w:rsidRPr="00AE02C5">
        <w:rPr>
          <w:sz w:val="22"/>
          <w:lang w:val="nl-BE"/>
        </w:rPr>
        <w:t>uit te werken</w:t>
      </w:r>
      <w:r w:rsidRPr="00AE02C5">
        <w:rPr>
          <w:sz w:val="22"/>
          <w:lang w:val="nl-BE"/>
        </w:rPr>
        <w:t xml:space="preserve"> en </w:t>
      </w:r>
      <w:r w:rsidR="00DB754B" w:rsidRPr="00AE02C5">
        <w:rPr>
          <w:sz w:val="22"/>
          <w:lang w:val="nl-BE"/>
        </w:rPr>
        <w:t>over te maken</w:t>
      </w:r>
      <w:r w:rsidRPr="00AE02C5">
        <w:rPr>
          <w:sz w:val="22"/>
          <w:lang w:val="nl-BE"/>
        </w:rPr>
        <w:t xml:space="preserve"> aan de </w:t>
      </w:r>
      <w:r w:rsidR="00B7585A" w:rsidRPr="00AE02C5">
        <w:rPr>
          <w:sz w:val="22"/>
          <w:lang w:val="nl-BE"/>
        </w:rPr>
        <w:t>r</w:t>
      </w:r>
      <w:r w:rsidRPr="00AE02C5">
        <w:rPr>
          <w:sz w:val="22"/>
          <w:lang w:val="nl-BE"/>
        </w:rPr>
        <w:t>egering</w:t>
      </w:r>
      <w:r w:rsidR="005E034F" w:rsidRPr="00AE02C5">
        <w:rPr>
          <w:sz w:val="22"/>
          <w:lang w:val="nl-BE"/>
        </w:rPr>
        <w:t>.</w:t>
      </w:r>
    </w:p>
    <w:p w14:paraId="537A1B8D" w14:textId="038F724B" w:rsidR="006625A7" w:rsidRPr="00AE02C5" w:rsidRDefault="00D17CED" w:rsidP="006625A7">
      <w:pPr>
        <w:pStyle w:val="Standaard1"/>
        <w:numPr>
          <w:ilvl w:val="1"/>
          <w:numId w:val="38"/>
        </w:numPr>
        <w:tabs>
          <w:tab w:val="left" w:pos="2127"/>
        </w:tabs>
        <w:jc w:val="both"/>
        <w:rPr>
          <w:sz w:val="22"/>
          <w:lang w:val="nl-BE"/>
        </w:rPr>
      </w:pPr>
      <w:r w:rsidRPr="00AE02C5">
        <w:rPr>
          <w:sz w:val="22"/>
          <w:lang w:val="nl-BE"/>
        </w:rPr>
        <w:t xml:space="preserve">Zo </w:t>
      </w:r>
      <w:r w:rsidR="00052B63" w:rsidRPr="00AE02C5">
        <w:rPr>
          <w:sz w:val="22"/>
          <w:lang w:val="nl-BE"/>
        </w:rPr>
        <w:t>lagen de werkzaamheden van de Commissie</w:t>
      </w:r>
      <w:r w:rsidRPr="00AE02C5">
        <w:rPr>
          <w:sz w:val="22"/>
          <w:lang w:val="nl-BE"/>
        </w:rPr>
        <w:t xml:space="preserve"> bijvoorbeeld</w:t>
      </w:r>
      <w:r w:rsidR="00052B63" w:rsidRPr="00AE02C5">
        <w:rPr>
          <w:sz w:val="22"/>
          <w:lang w:val="nl-BE"/>
        </w:rPr>
        <w:t xml:space="preserve"> aan de basis van de wet van </w:t>
      </w:r>
      <w:r w:rsidR="005E034F" w:rsidRPr="00AE02C5">
        <w:rPr>
          <w:sz w:val="22"/>
          <w:lang w:val="nl-BE"/>
        </w:rPr>
        <w:t>16 jun</w:t>
      </w:r>
      <w:r w:rsidR="00052B63" w:rsidRPr="00AE02C5">
        <w:rPr>
          <w:sz w:val="22"/>
          <w:lang w:val="nl-BE"/>
        </w:rPr>
        <w:t>i</w:t>
      </w:r>
      <w:r w:rsidR="005E034F" w:rsidRPr="00AE02C5">
        <w:rPr>
          <w:sz w:val="22"/>
          <w:lang w:val="nl-BE"/>
        </w:rPr>
        <w:t xml:space="preserve"> 1993 </w:t>
      </w:r>
      <w:r w:rsidR="00052B63" w:rsidRPr="00AE02C5">
        <w:rPr>
          <w:sz w:val="22"/>
          <w:lang w:val="nl-BE"/>
        </w:rPr>
        <w:t xml:space="preserve">betreffende de bestraffing van de ernstige inbreuken op de </w:t>
      </w:r>
      <w:r w:rsidR="00B515AF" w:rsidRPr="00AE02C5">
        <w:rPr>
          <w:sz w:val="22"/>
          <w:lang w:val="nl-BE"/>
        </w:rPr>
        <w:t>Verdragen</w:t>
      </w:r>
      <w:r w:rsidR="00052B63" w:rsidRPr="00AE02C5">
        <w:rPr>
          <w:sz w:val="22"/>
          <w:lang w:val="nl-BE"/>
        </w:rPr>
        <w:t xml:space="preserve"> van Genève en </w:t>
      </w:r>
      <w:r w:rsidR="00B515AF" w:rsidRPr="00AE02C5">
        <w:rPr>
          <w:sz w:val="22"/>
          <w:lang w:val="nl-BE"/>
        </w:rPr>
        <w:t xml:space="preserve">op </w:t>
      </w:r>
      <w:r w:rsidR="00052B63" w:rsidRPr="00AE02C5">
        <w:rPr>
          <w:sz w:val="22"/>
          <w:lang w:val="nl-BE"/>
        </w:rPr>
        <w:t>de Aanvullende Protocollen, nadien opgeheven en vervangen door de wet van 5 augustus 2003 betreffende ernstige schendingen van het internationaal humanitair recht</w:t>
      </w:r>
      <w:r w:rsidR="005E034F" w:rsidRPr="00AE02C5">
        <w:rPr>
          <w:sz w:val="22"/>
          <w:lang w:val="nl-BE"/>
        </w:rPr>
        <w:t xml:space="preserve">. </w:t>
      </w:r>
    </w:p>
    <w:p w14:paraId="1B7F825E" w14:textId="3D13F2AA" w:rsidR="00B07A25" w:rsidRPr="00AE02C5" w:rsidRDefault="00B515AF" w:rsidP="006625A7">
      <w:pPr>
        <w:pStyle w:val="Standaard1"/>
        <w:numPr>
          <w:ilvl w:val="1"/>
          <w:numId w:val="38"/>
        </w:numPr>
        <w:tabs>
          <w:tab w:val="left" w:pos="2127"/>
        </w:tabs>
        <w:jc w:val="both"/>
        <w:rPr>
          <w:sz w:val="22"/>
          <w:lang w:val="nl-BE"/>
        </w:rPr>
      </w:pPr>
      <w:r w:rsidRPr="00AE02C5">
        <w:rPr>
          <w:sz w:val="22"/>
          <w:lang w:val="nl-BE"/>
        </w:rPr>
        <w:t xml:space="preserve">De Commissie heeft ook de </w:t>
      </w:r>
      <w:r w:rsidR="00DA5C54" w:rsidRPr="00AE02C5">
        <w:rPr>
          <w:sz w:val="22"/>
          <w:lang w:val="nl-BE"/>
        </w:rPr>
        <w:t xml:space="preserve">grondslag gelegd voor </w:t>
      </w:r>
      <w:r w:rsidRPr="00AE02C5">
        <w:rPr>
          <w:sz w:val="22"/>
          <w:lang w:val="nl-BE"/>
        </w:rPr>
        <w:t>de werkzaamheden betreffende de twee wetten houden</w:t>
      </w:r>
      <w:r w:rsidR="00F94BA4" w:rsidRPr="00AE02C5">
        <w:rPr>
          <w:sz w:val="22"/>
          <w:lang w:val="nl-BE"/>
        </w:rPr>
        <w:t>de</w:t>
      </w:r>
      <w:r w:rsidRPr="00AE02C5">
        <w:rPr>
          <w:sz w:val="22"/>
          <w:lang w:val="nl-BE"/>
        </w:rPr>
        <w:t xml:space="preserve"> instemming met de </w:t>
      </w:r>
      <w:r w:rsidR="0074108F" w:rsidRPr="00AE02C5">
        <w:rPr>
          <w:sz w:val="22"/>
          <w:lang w:val="nl-BE"/>
        </w:rPr>
        <w:t>W</w:t>
      </w:r>
      <w:r w:rsidRPr="00AE02C5">
        <w:rPr>
          <w:sz w:val="22"/>
          <w:lang w:val="nl-BE"/>
        </w:rPr>
        <w:t xml:space="preserve">ijziging van artikel </w:t>
      </w:r>
      <w:r w:rsidR="005E034F" w:rsidRPr="00AE02C5">
        <w:rPr>
          <w:sz w:val="22"/>
          <w:lang w:val="nl-BE"/>
        </w:rPr>
        <w:t>8</w:t>
      </w:r>
      <w:r w:rsidRPr="00AE02C5">
        <w:rPr>
          <w:sz w:val="22"/>
          <w:lang w:val="nl-BE"/>
        </w:rPr>
        <w:t xml:space="preserve"> van het Statuut van Rome van het Internationaal Strafhof betreffende oorlogsmisdaden en met de </w:t>
      </w:r>
      <w:r w:rsidR="00F40A79" w:rsidRPr="00AE02C5">
        <w:rPr>
          <w:sz w:val="22"/>
          <w:lang w:val="nl-BE"/>
        </w:rPr>
        <w:t>W</w:t>
      </w:r>
      <w:r w:rsidRPr="00AE02C5">
        <w:rPr>
          <w:sz w:val="22"/>
          <w:lang w:val="nl-BE"/>
        </w:rPr>
        <w:t xml:space="preserve">ijzigingen van het Statuut van Rome betreffende de misdaad van agressie, aangenomen te </w:t>
      </w:r>
      <w:r w:rsidR="005E034F" w:rsidRPr="00AE02C5">
        <w:rPr>
          <w:sz w:val="22"/>
          <w:lang w:val="nl-BE"/>
        </w:rPr>
        <w:t xml:space="preserve">Kampala </w:t>
      </w:r>
      <w:r w:rsidRPr="00AE02C5">
        <w:rPr>
          <w:sz w:val="22"/>
          <w:lang w:val="nl-BE"/>
        </w:rPr>
        <w:t>op</w:t>
      </w:r>
      <w:r w:rsidR="005E034F" w:rsidRPr="00AE02C5">
        <w:rPr>
          <w:sz w:val="22"/>
          <w:lang w:val="nl-BE"/>
        </w:rPr>
        <w:t xml:space="preserve"> 10 e</w:t>
      </w:r>
      <w:r w:rsidRPr="00AE02C5">
        <w:rPr>
          <w:sz w:val="22"/>
          <w:lang w:val="nl-BE"/>
        </w:rPr>
        <w:t>n</w:t>
      </w:r>
      <w:r w:rsidR="005E034F" w:rsidRPr="00AE02C5">
        <w:rPr>
          <w:sz w:val="22"/>
          <w:lang w:val="nl-BE"/>
        </w:rPr>
        <w:t xml:space="preserve"> 11 jun</w:t>
      </w:r>
      <w:r w:rsidR="0074108F" w:rsidRPr="00AE02C5">
        <w:rPr>
          <w:sz w:val="22"/>
          <w:lang w:val="nl-BE"/>
        </w:rPr>
        <w:t>i</w:t>
      </w:r>
      <w:r w:rsidR="005E034F" w:rsidRPr="00AE02C5">
        <w:rPr>
          <w:sz w:val="22"/>
          <w:lang w:val="nl-BE"/>
        </w:rPr>
        <w:t xml:space="preserve"> 2010</w:t>
      </w:r>
      <w:r w:rsidR="0074108F" w:rsidRPr="00AE02C5">
        <w:rPr>
          <w:sz w:val="22"/>
          <w:lang w:val="nl-BE"/>
        </w:rPr>
        <w:t xml:space="preserve"> tijdens de Herzieningsconferentie van het Statuut van </w:t>
      </w:r>
      <w:r w:rsidR="005E034F" w:rsidRPr="00AE02C5">
        <w:rPr>
          <w:sz w:val="22"/>
          <w:lang w:val="nl-BE"/>
        </w:rPr>
        <w:t>Rome.</w:t>
      </w:r>
    </w:p>
    <w:p w14:paraId="2CA636FF" w14:textId="77777777" w:rsidR="00BE69CD" w:rsidRPr="00AE02C5" w:rsidRDefault="00BE69CD" w:rsidP="00232390">
      <w:pPr>
        <w:pStyle w:val="Standaard1"/>
        <w:tabs>
          <w:tab w:val="left" w:pos="2127"/>
        </w:tabs>
        <w:ind w:left="2153"/>
        <w:jc w:val="both"/>
        <w:rPr>
          <w:sz w:val="22"/>
          <w:lang w:val="nl-BE"/>
        </w:rPr>
      </w:pPr>
    </w:p>
    <w:p w14:paraId="332F3A19" w14:textId="50ECA074" w:rsidR="00CD7656" w:rsidRPr="00AE02C5" w:rsidRDefault="00BE04ED" w:rsidP="00840FF8">
      <w:pPr>
        <w:pStyle w:val="Standaard1"/>
        <w:numPr>
          <w:ilvl w:val="0"/>
          <w:numId w:val="2"/>
        </w:numPr>
        <w:tabs>
          <w:tab w:val="left" w:pos="2127"/>
        </w:tabs>
        <w:jc w:val="both"/>
        <w:rPr>
          <w:sz w:val="22"/>
          <w:lang w:val="nl-BE"/>
        </w:rPr>
      </w:pPr>
      <w:r w:rsidRPr="00AE02C5">
        <w:rPr>
          <w:sz w:val="22"/>
          <w:lang w:val="nl-BE"/>
        </w:rPr>
        <w:t>De werkmethodes van de Commissie hebben gezorgd voor een goede dynamiek tussen de verschillende departementen die erin vertegenwoor</w:t>
      </w:r>
      <w:r w:rsidR="00F43DD8" w:rsidRPr="00AE02C5">
        <w:rPr>
          <w:sz w:val="22"/>
          <w:lang w:val="nl-BE"/>
        </w:rPr>
        <w:t xml:space="preserve">digd zijn. </w:t>
      </w:r>
      <w:r w:rsidR="00DA5C54" w:rsidRPr="00AE02C5">
        <w:rPr>
          <w:sz w:val="22"/>
          <w:lang w:val="nl-BE"/>
        </w:rPr>
        <w:t>Zo wordt</w:t>
      </w:r>
      <w:r w:rsidR="00F43DD8" w:rsidRPr="00AE02C5">
        <w:rPr>
          <w:sz w:val="22"/>
          <w:lang w:val="nl-BE"/>
        </w:rPr>
        <w:t xml:space="preserve"> de interdepartementale coördinatie </w:t>
      </w:r>
      <w:r w:rsidR="00DA5C54" w:rsidRPr="00AE02C5">
        <w:rPr>
          <w:sz w:val="22"/>
          <w:lang w:val="nl-BE"/>
        </w:rPr>
        <w:t xml:space="preserve">bevorderd </w:t>
      </w:r>
      <w:r w:rsidR="00F43DD8" w:rsidRPr="00AE02C5">
        <w:rPr>
          <w:sz w:val="22"/>
          <w:lang w:val="nl-BE"/>
        </w:rPr>
        <w:t>met het oog op een eventuele Belgische bijdrage aan de verslagen over de uitvoering van sommige internationale instrumenten</w:t>
      </w:r>
      <w:r w:rsidR="002D0B7A" w:rsidRPr="00AE02C5">
        <w:rPr>
          <w:sz w:val="22"/>
          <w:lang w:val="nl-BE"/>
        </w:rPr>
        <w:t xml:space="preserve">, met name </w:t>
      </w:r>
      <w:r w:rsidR="00F43DD8" w:rsidRPr="00AE02C5">
        <w:rPr>
          <w:sz w:val="22"/>
          <w:lang w:val="nl-BE"/>
        </w:rPr>
        <w:t xml:space="preserve">het door België ingediende verslag over de opvolging van de </w:t>
      </w:r>
      <w:r w:rsidR="002D0B7A" w:rsidRPr="00AE02C5">
        <w:rPr>
          <w:sz w:val="22"/>
          <w:lang w:val="nl-BE"/>
        </w:rPr>
        <w:t>tweejaarlijkse</w:t>
      </w:r>
      <w:r w:rsidR="00F43DD8" w:rsidRPr="00AE02C5">
        <w:rPr>
          <w:sz w:val="22"/>
          <w:lang w:val="nl-BE"/>
        </w:rPr>
        <w:t xml:space="preserve"> resoluties van de Algemene Vergadering van de Verenigde Naties over</w:t>
      </w:r>
      <w:r w:rsidR="00CD7656" w:rsidRPr="00AE02C5">
        <w:rPr>
          <w:sz w:val="22"/>
          <w:lang w:val="nl-BE"/>
        </w:rPr>
        <w:t xml:space="preserve"> </w:t>
      </w:r>
      <w:r w:rsidR="004B1869" w:rsidRPr="00AE02C5">
        <w:rPr>
          <w:sz w:val="22"/>
          <w:lang w:val="nl-BE"/>
        </w:rPr>
        <w:t xml:space="preserve">de </w:t>
      </w:r>
      <w:r w:rsidR="00F43DD8" w:rsidRPr="00AE02C5">
        <w:rPr>
          <w:sz w:val="22"/>
          <w:lang w:val="nl-BE"/>
        </w:rPr>
        <w:t>“</w:t>
      </w:r>
      <w:r w:rsidR="004B1869" w:rsidRPr="00AE02C5">
        <w:rPr>
          <w:sz w:val="22"/>
          <w:lang w:val="nl-BE"/>
        </w:rPr>
        <w:t xml:space="preserve">Status van de Aanvullende Protocollen bij de Verdragen van </w:t>
      </w:r>
      <w:r w:rsidR="00CD7656" w:rsidRPr="00AE02C5">
        <w:rPr>
          <w:sz w:val="22"/>
          <w:lang w:val="nl-BE"/>
        </w:rPr>
        <w:t xml:space="preserve">Genève </w:t>
      </w:r>
      <w:r w:rsidR="004B1869" w:rsidRPr="00AE02C5">
        <w:rPr>
          <w:sz w:val="22"/>
          <w:lang w:val="nl-BE"/>
        </w:rPr>
        <w:t xml:space="preserve">van </w:t>
      </w:r>
      <w:r w:rsidR="00CD7656" w:rsidRPr="00AE02C5">
        <w:rPr>
          <w:sz w:val="22"/>
          <w:lang w:val="nl-BE"/>
        </w:rPr>
        <w:t>1949</w:t>
      </w:r>
      <w:r w:rsidR="004B1869" w:rsidRPr="00AE02C5">
        <w:rPr>
          <w:sz w:val="22"/>
          <w:lang w:val="nl-BE"/>
        </w:rPr>
        <w:t xml:space="preserve"> inzake de bescherming van slachtoffers van gewapende conflicten</w:t>
      </w:r>
      <w:r w:rsidR="00F43DD8" w:rsidRPr="00AE02C5">
        <w:rPr>
          <w:sz w:val="22"/>
          <w:lang w:val="nl-BE"/>
        </w:rPr>
        <w:t>”</w:t>
      </w:r>
      <w:r w:rsidR="00CD7656" w:rsidRPr="00AE02C5">
        <w:rPr>
          <w:sz w:val="22"/>
          <w:lang w:val="nl-BE"/>
        </w:rPr>
        <w:t>,</w:t>
      </w:r>
      <w:r w:rsidR="00F43DD8" w:rsidRPr="00AE02C5">
        <w:rPr>
          <w:sz w:val="22"/>
          <w:lang w:val="nl-BE"/>
        </w:rPr>
        <w:t xml:space="preserve"> het verslag dat werd overgemaakt aan</w:t>
      </w:r>
      <w:r w:rsidR="004B1869" w:rsidRPr="00AE02C5">
        <w:rPr>
          <w:sz w:val="22"/>
          <w:lang w:val="nl-BE"/>
        </w:rPr>
        <w:t xml:space="preserve"> het</w:t>
      </w:r>
      <w:r w:rsidR="00F43DD8" w:rsidRPr="00AE02C5">
        <w:rPr>
          <w:sz w:val="22"/>
          <w:lang w:val="nl-BE"/>
        </w:rPr>
        <w:t xml:space="preserve"> </w:t>
      </w:r>
      <w:r w:rsidR="00CD7656" w:rsidRPr="00AE02C5">
        <w:rPr>
          <w:sz w:val="22"/>
          <w:lang w:val="nl-BE"/>
        </w:rPr>
        <w:t xml:space="preserve">Comité </w:t>
      </w:r>
      <w:r w:rsidR="00F43DD8" w:rsidRPr="00AE02C5">
        <w:rPr>
          <w:sz w:val="22"/>
          <w:lang w:val="nl-BE"/>
        </w:rPr>
        <w:t xml:space="preserve">voor </w:t>
      </w:r>
      <w:r w:rsidR="004B1869" w:rsidRPr="00AE02C5">
        <w:rPr>
          <w:sz w:val="22"/>
          <w:lang w:val="nl-BE"/>
        </w:rPr>
        <w:t>de R</w:t>
      </w:r>
      <w:r w:rsidR="00F43DD8" w:rsidRPr="00AE02C5">
        <w:rPr>
          <w:sz w:val="22"/>
          <w:lang w:val="nl-BE"/>
        </w:rPr>
        <w:t xml:space="preserve">echten van het </w:t>
      </w:r>
      <w:r w:rsidR="004B1869" w:rsidRPr="00AE02C5">
        <w:rPr>
          <w:sz w:val="22"/>
          <w:lang w:val="nl-BE"/>
        </w:rPr>
        <w:t>K</w:t>
      </w:r>
      <w:r w:rsidR="00F43DD8" w:rsidRPr="00AE02C5">
        <w:rPr>
          <w:sz w:val="22"/>
          <w:lang w:val="nl-BE"/>
        </w:rPr>
        <w:t xml:space="preserve">ind </w:t>
      </w:r>
      <w:r w:rsidR="005503A2" w:rsidRPr="00AE02C5">
        <w:rPr>
          <w:sz w:val="22"/>
          <w:lang w:val="nl-BE"/>
        </w:rPr>
        <w:t>over</w:t>
      </w:r>
      <w:r w:rsidR="00F43DD8" w:rsidRPr="00AE02C5">
        <w:rPr>
          <w:sz w:val="22"/>
          <w:lang w:val="nl-BE"/>
        </w:rPr>
        <w:t xml:space="preserve"> de uitvoering van het </w:t>
      </w:r>
      <w:r w:rsidR="005503A2" w:rsidRPr="00AE02C5">
        <w:rPr>
          <w:sz w:val="22"/>
          <w:lang w:val="nl-BE"/>
        </w:rPr>
        <w:t xml:space="preserve">Facultatief </w:t>
      </w:r>
      <w:r w:rsidR="00F43DD8" w:rsidRPr="00AE02C5">
        <w:rPr>
          <w:sz w:val="22"/>
          <w:lang w:val="nl-BE"/>
        </w:rPr>
        <w:t>Protocol</w:t>
      </w:r>
      <w:r w:rsidR="005503A2" w:rsidRPr="00AE02C5">
        <w:rPr>
          <w:sz w:val="22"/>
          <w:lang w:val="nl-BE"/>
        </w:rPr>
        <w:t xml:space="preserve"> </w:t>
      </w:r>
      <w:r w:rsidR="00F43DD8" w:rsidRPr="00AE02C5">
        <w:rPr>
          <w:sz w:val="22"/>
          <w:lang w:val="nl-BE"/>
        </w:rPr>
        <w:t>van</w:t>
      </w:r>
      <w:r w:rsidR="00CD7656" w:rsidRPr="00AE02C5">
        <w:rPr>
          <w:sz w:val="22"/>
          <w:lang w:val="nl-BE"/>
        </w:rPr>
        <w:t xml:space="preserve"> 2000 </w:t>
      </w:r>
      <w:r w:rsidR="00F43DD8" w:rsidRPr="00AE02C5">
        <w:rPr>
          <w:sz w:val="22"/>
          <w:lang w:val="nl-BE"/>
        </w:rPr>
        <w:t xml:space="preserve">bij </w:t>
      </w:r>
      <w:r w:rsidR="005503A2" w:rsidRPr="00AE02C5">
        <w:rPr>
          <w:sz w:val="22"/>
          <w:lang w:val="nl-BE"/>
        </w:rPr>
        <w:t>het Verdrag inzake de rechten van het kind</w:t>
      </w:r>
      <w:r w:rsidR="00CD7656" w:rsidRPr="00AE02C5">
        <w:rPr>
          <w:sz w:val="22"/>
          <w:lang w:val="nl-BE"/>
        </w:rPr>
        <w:t xml:space="preserve">, </w:t>
      </w:r>
      <w:r w:rsidR="00F43DD8" w:rsidRPr="00AE02C5">
        <w:rPr>
          <w:sz w:val="22"/>
          <w:lang w:val="nl-BE"/>
        </w:rPr>
        <w:t>betreffende de betrokkenheid van kinderen bij gewapende conflicten</w:t>
      </w:r>
      <w:r w:rsidR="005503A2" w:rsidRPr="00AE02C5">
        <w:rPr>
          <w:sz w:val="22"/>
          <w:lang w:val="nl-BE"/>
        </w:rPr>
        <w:t>,</w:t>
      </w:r>
      <w:r w:rsidR="00F43DD8" w:rsidRPr="00AE02C5">
        <w:rPr>
          <w:sz w:val="22"/>
          <w:lang w:val="nl-BE"/>
        </w:rPr>
        <w:t xml:space="preserve"> of nog</w:t>
      </w:r>
      <w:r w:rsidR="00D665A1" w:rsidRPr="00AE02C5">
        <w:rPr>
          <w:sz w:val="22"/>
          <w:lang w:val="nl-BE"/>
        </w:rPr>
        <w:t>,</w:t>
      </w:r>
      <w:r w:rsidR="00F43DD8" w:rsidRPr="00AE02C5">
        <w:rPr>
          <w:sz w:val="22"/>
          <w:lang w:val="nl-BE"/>
        </w:rPr>
        <w:t xml:space="preserve"> de vierjaarlijkse </w:t>
      </w:r>
      <w:r w:rsidR="005503A2" w:rsidRPr="00AE02C5">
        <w:rPr>
          <w:sz w:val="22"/>
          <w:lang w:val="nl-BE"/>
        </w:rPr>
        <w:t>verslagen</w:t>
      </w:r>
      <w:r w:rsidR="00F43DD8" w:rsidRPr="00AE02C5">
        <w:rPr>
          <w:sz w:val="22"/>
          <w:lang w:val="nl-BE"/>
        </w:rPr>
        <w:t xml:space="preserve"> overgemaakt aan de </w:t>
      </w:r>
      <w:r w:rsidR="00BE69CD" w:rsidRPr="00AE02C5">
        <w:rPr>
          <w:sz w:val="22"/>
          <w:lang w:val="nl-BE"/>
        </w:rPr>
        <w:t xml:space="preserve">UNESCO </w:t>
      </w:r>
      <w:r w:rsidR="005503A2" w:rsidRPr="00AE02C5">
        <w:rPr>
          <w:sz w:val="22"/>
          <w:lang w:val="nl-BE"/>
        </w:rPr>
        <w:t>over</w:t>
      </w:r>
      <w:r w:rsidR="00F43DD8" w:rsidRPr="00AE02C5">
        <w:rPr>
          <w:sz w:val="22"/>
          <w:lang w:val="nl-BE"/>
        </w:rPr>
        <w:t xml:space="preserve"> de uitvoering </w:t>
      </w:r>
      <w:r w:rsidR="005503A2" w:rsidRPr="00AE02C5">
        <w:rPr>
          <w:sz w:val="22"/>
          <w:lang w:val="nl-BE"/>
        </w:rPr>
        <w:t>in</w:t>
      </w:r>
      <w:r w:rsidR="00F43DD8" w:rsidRPr="00AE02C5">
        <w:rPr>
          <w:sz w:val="22"/>
          <w:lang w:val="nl-BE"/>
        </w:rPr>
        <w:t xml:space="preserve"> België van het Verdrag van ’s</w:t>
      </w:r>
      <w:r w:rsidR="005503A2" w:rsidRPr="00AE02C5">
        <w:rPr>
          <w:sz w:val="22"/>
          <w:lang w:val="nl-BE"/>
        </w:rPr>
        <w:t>-</w:t>
      </w:r>
      <w:r w:rsidR="00F43DD8" w:rsidRPr="00AE02C5">
        <w:rPr>
          <w:sz w:val="22"/>
          <w:lang w:val="nl-BE"/>
        </w:rPr>
        <w:t xml:space="preserve">Gravenhage </w:t>
      </w:r>
      <w:r w:rsidR="00355787" w:rsidRPr="00AE02C5">
        <w:rPr>
          <w:sz w:val="22"/>
          <w:lang w:val="nl-BE"/>
        </w:rPr>
        <w:t xml:space="preserve">van 1954 </w:t>
      </w:r>
      <w:r w:rsidR="005503A2" w:rsidRPr="00AE02C5">
        <w:rPr>
          <w:sz w:val="22"/>
          <w:lang w:val="nl-BE"/>
        </w:rPr>
        <w:t>inzake</w:t>
      </w:r>
      <w:r w:rsidR="00F43DD8" w:rsidRPr="00AE02C5">
        <w:rPr>
          <w:sz w:val="22"/>
          <w:lang w:val="nl-BE"/>
        </w:rPr>
        <w:t xml:space="preserve"> de bescherming van culturele goederen in geval van een gewapend conflict en</w:t>
      </w:r>
      <w:r w:rsidR="005503A2" w:rsidRPr="00AE02C5">
        <w:rPr>
          <w:sz w:val="22"/>
          <w:lang w:val="nl-BE"/>
        </w:rPr>
        <w:t xml:space="preserve"> van</w:t>
      </w:r>
      <w:r w:rsidR="00F43DD8" w:rsidRPr="00AE02C5">
        <w:rPr>
          <w:sz w:val="22"/>
          <w:lang w:val="nl-BE"/>
        </w:rPr>
        <w:t xml:space="preserve"> de twee Protocollen </w:t>
      </w:r>
      <w:r w:rsidR="005503A2" w:rsidRPr="00AE02C5">
        <w:rPr>
          <w:sz w:val="22"/>
          <w:lang w:val="nl-BE"/>
        </w:rPr>
        <w:t xml:space="preserve">bij dat Verdrag </w:t>
      </w:r>
      <w:r w:rsidR="00F43DD8" w:rsidRPr="00AE02C5">
        <w:rPr>
          <w:sz w:val="22"/>
          <w:lang w:val="nl-BE"/>
        </w:rPr>
        <w:t>van 1954 en</w:t>
      </w:r>
      <w:r w:rsidR="00BE69CD" w:rsidRPr="00AE02C5">
        <w:rPr>
          <w:sz w:val="22"/>
          <w:lang w:val="nl-BE"/>
        </w:rPr>
        <w:t xml:space="preserve"> 1999.</w:t>
      </w:r>
    </w:p>
    <w:p w14:paraId="0177CB16" w14:textId="77777777" w:rsidR="00581320" w:rsidRPr="00AE02C5" w:rsidRDefault="00581320" w:rsidP="00232390">
      <w:pPr>
        <w:pStyle w:val="Standaard1"/>
        <w:tabs>
          <w:tab w:val="left" w:pos="2127"/>
        </w:tabs>
        <w:ind w:left="2153"/>
        <w:jc w:val="both"/>
        <w:rPr>
          <w:sz w:val="22"/>
          <w:lang w:val="nl-BE"/>
        </w:rPr>
      </w:pPr>
    </w:p>
    <w:p w14:paraId="6E781FE5" w14:textId="3C356619" w:rsidR="00AC3816" w:rsidRPr="00AE02C5" w:rsidRDefault="00DB754B" w:rsidP="00972B65">
      <w:pPr>
        <w:pStyle w:val="Standaard1"/>
        <w:tabs>
          <w:tab w:val="left" w:pos="2127"/>
          <w:tab w:val="left" w:pos="2153"/>
        </w:tabs>
        <w:ind w:left="1416"/>
        <w:jc w:val="both"/>
        <w:rPr>
          <w:sz w:val="22"/>
          <w:lang w:val="nl-BE"/>
        </w:rPr>
      </w:pPr>
      <w:r w:rsidRPr="00AE02C5">
        <w:rPr>
          <w:sz w:val="22"/>
          <w:lang w:val="nl-BE"/>
        </w:rPr>
        <w:t xml:space="preserve">Voor meer informatie over de activiteiten van de ICHR als adviesorgaan van de </w:t>
      </w:r>
      <w:r w:rsidR="00B7585A" w:rsidRPr="00AE02C5">
        <w:rPr>
          <w:sz w:val="22"/>
          <w:lang w:val="nl-BE"/>
        </w:rPr>
        <w:t>r</w:t>
      </w:r>
      <w:r w:rsidRPr="00AE02C5">
        <w:rPr>
          <w:sz w:val="22"/>
          <w:lang w:val="nl-BE"/>
        </w:rPr>
        <w:t>egering</w:t>
      </w:r>
      <w:r w:rsidR="009D1846" w:rsidRPr="00AE02C5">
        <w:rPr>
          <w:sz w:val="22"/>
          <w:lang w:val="nl-BE"/>
        </w:rPr>
        <w:t>:</w:t>
      </w:r>
      <w:r w:rsidRPr="00AE02C5">
        <w:rPr>
          <w:sz w:val="22"/>
          <w:lang w:val="nl-BE"/>
        </w:rPr>
        <w:t xml:space="preserve"> </w:t>
      </w:r>
      <w:hyperlink r:id="rId14" w:history="1">
        <w:r w:rsidRPr="00AE02C5">
          <w:rPr>
            <w:rStyle w:val="Hyperlink"/>
            <w:sz w:val="22"/>
            <w:lang w:val="nl-BE"/>
          </w:rPr>
          <w:t>https://cidh.be/nl/raadgevende-adviezen</w:t>
        </w:r>
      </w:hyperlink>
      <w:r w:rsidR="00A66F3E" w:rsidRPr="00AE02C5">
        <w:rPr>
          <w:sz w:val="22"/>
          <w:lang w:val="nl-BE"/>
        </w:rPr>
        <w:t>.</w:t>
      </w:r>
    </w:p>
    <w:p w14:paraId="3BCA1937" w14:textId="13E8A054" w:rsidR="00972B65" w:rsidRPr="00AE02C5" w:rsidRDefault="00972B65" w:rsidP="00972B65">
      <w:pPr>
        <w:pStyle w:val="Standaard1"/>
        <w:tabs>
          <w:tab w:val="left" w:pos="2127"/>
          <w:tab w:val="left" w:pos="2153"/>
        </w:tabs>
        <w:ind w:left="1416"/>
        <w:jc w:val="both"/>
        <w:rPr>
          <w:sz w:val="22"/>
          <w:lang w:val="nl-BE"/>
        </w:rPr>
      </w:pPr>
    </w:p>
    <w:p w14:paraId="2B4BD0B0" w14:textId="7E747A3B" w:rsidR="00146443" w:rsidRPr="00AE02C5" w:rsidRDefault="00146443" w:rsidP="00232390">
      <w:pPr>
        <w:pStyle w:val="Standaard1"/>
        <w:tabs>
          <w:tab w:val="left" w:pos="2127"/>
          <w:tab w:val="left" w:pos="2153"/>
        </w:tabs>
        <w:jc w:val="both"/>
        <w:rPr>
          <w:sz w:val="22"/>
          <w:lang w:val="nl-BE"/>
        </w:rPr>
      </w:pPr>
    </w:p>
    <w:p w14:paraId="54C3DDB0" w14:textId="77777777" w:rsidR="00781992" w:rsidRPr="00AE02C5" w:rsidRDefault="00781992" w:rsidP="00232390">
      <w:pPr>
        <w:ind w:left="1416"/>
        <w:jc w:val="both"/>
        <w:rPr>
          <w:sz w:val="22"/>
          <w:lang w:val="nl-BE"/>
        </w:rPr>
      </w:pPr>
    </w:p>
    <w:p w14:paraId="583C8BA8" w14:textId="5AEEE231" w:rsidR="008049CE" w:rsidRPr="00AE02C5" w:rsidRDefault="00020595" w:rsidP="008049CE">
      <w:pPr>
        <w:pStyle w:val="Standaard1"/>
        <w:ind w:left="1776"/>
        <w:jc w:val="both"/>
        <w:rPr>
          <w:sz w:val="22"/>
          <w:lang w:val="nl-BE"/>
        </w:rPr>
      </w:pPr>
      <w:r w:rsidRPr="00AE02C5">
        <w:rPr>
          <w:sz w:val="22"/>
          <w:lang w:val="nl-BE"/>
        </w:rPr>
        <w:t>b</w:t>
      </w:r>
      <w:r w:rsidR="008049CE" w:rsidRPr="00AE02C5">
        <w:rPr>
          <w:sz w:val="22"/>
          <w:lang w:val="nl-BE"/>
        </w:rPr>
        <w:t xml:space="preserve">) </w:t>
      </w:r>
      <w:r w:rsidR="00664312" w:rsidRPr="00AE02C5">
        <w:rPr>
          <w:sz w:val="22"/>
          <w:lang w:val="nl-BE"/>
        </w:rPr>
        <w:t>O</w:t>
      </w:r>
      <w:r w:rsidR="00905AFA" w:rsidRPr="00AE02C5">
        <w:rPr>
          <w:sz w:val="22"/>
          <w:lang w:val="nl-BE"/>
        </w:rPr>
        <w:t>rganisatie</w:t>
      </w:r>
      <w:r w:rsidR="00D665A1" w:rsidRPr="00AE02C5">
        <w:rPr>
          <w:sz w:val="22"/>
          <w:lang w:val="nl-BE"/>
        </w:rPr>
        <w:t xml:space="preserve"> van</w:t>
      </w:r>
      <w:r w:rsidR="00905AFA" w:rsidRPr="00AE02C5">
        <w:rPr>
          <w:sz w:val="22"/>
          <w:lang w:val="nl-BE"/>
        </w:rPr>
        <w:t xml:space="preserve"> en deelname aan wetenschappelijke evenementen</w:t>
      </w:r>
    </w:p>
    <w:p w14:paraId="56878EED" w14:textId="7BF8DA4D" w:rsidR="003133EB" w:rsidRPr="00AE02C5" w:rsidRDefault="003133EB" w:rsidP="00232390">
      <w:pPr>
        <w:pStyle w:val="Standaard1"/>
        <w:jc w:val="both"/>
        <w:rPr>
          <w:sz w:val="22"/>
          <w:lang w:val="nl-BE"/>
        </w:rPr>
      </w:pPr>
    </w:p>
    <w:p w14:paraId="6E3AA554" w14:textId="23B2533C" w:rsidR="00905AFA" w:rsidRPr="00AE02C5" w:rsidRDefault="00905AFA" w:rsidP="00232390">
      <w:pPr>
        <w:pStyle w:val="Standaard1"/>
        <w:ind w:left="1418"/>
        <w:jc w:val="both"/>
        <w:rPr>
          <w:sz w:val="22"/>
          <w:lang w:val="nl-BE"/>
        </w:rPr>
      </w:pPr>
      <w:r w:rsidRPr="00AE02C5">
        <w:rPr>
          <w:sz w:val="22"/>
          <w:lang w:val="nl-BE"/>
        </w:rPr>
        <w:t xml:space="preserve">In het kader van haar mandaat heeft de Commissie </w:t>
      </w:r>
      <w:r w:rsidR="002D5B00" w:rsidRPr="00AE02C5">
        <w:rPr>
          <w:sz w:val="22"/>
          <w:lang w:val="nl-BE"/>
        </w:rPr>
        <w:t>beslist</w:t>
      </w:r>
      <w:r w:rsidR="00355787" w:rsidRPr="00AE02C5">
        <w:rPr>
          <w:sz w:val="22"/>
          <w:lang w:val="nl-BE"/>
        </w:rPr>
        <w:t xml:space="preserve"> om</w:t>
      </w:r>
      <w:r w:rsidRPr="00AE02C5">
        <w:rPr>
          <w:sz w:val="22"/>
          <w:lang w:val="nl-BE"/>
        </w:rPr>
        <w:t xml:space="preserve"> de actualiteit en de ontwikkelingen van het internationaal humanitair recht</w:t>
      </w:r>
      <w:r w:rsidR="00355787" w:rsidRPr="00AE02C5">
        <w:rPr>
          <w:sz w:val="22"/>
          <w:lang w:val="nl-BE"/>
        </w:rPr>
        <w:t xml:space="preserve"> op</w:t>
      </w:r>
      <w:r w:rsidRPr="00AE02C5">
        <w:rPr>
          <w:sz w:val="22"/>
          <w:lang w:val="nl-BE"/>
        </w:rPr>
        <w:t xml:space="preserve"> regelmatig</w:t>
      </w:r>
      <w:r w:rsidR="00355787" w:rsidRPr="00AE02C5">
        <w:rPr>
          <w:sz w:val="22"/>
          <w:lang w:val="nl-BE"/>
        </w:rPr>
        <w:t xml:space="preserve">e basis </w:t>
      </w:r>
      <w:r w:rsidRPr="00AE02C5">
        <w:rPr>
          <w:sz w:val="22"/>
          <w:lang w:val="nl-BE"/>
        </w:rPr>
        <w:t xml:space="preserve">te </w:t>
      </w:r>
      <w:r w:rsidR="00246DDA" w:rsidRPr="00AE02C5">
        <w:rPr>
          <w:sz w:val="22"/>
          <w:lang w:val="nl-BE"/>
        </w:rPr>
        <w:t xml:space="preserve">op te </w:t>
      </w:r>
      <w:r w:rsidRPr="00AE02C5">
        <w:rPr>
          <w:sz w:val="22"/>
          <w:lang w:val="nl-BE"/>
        </w:rPr>
        <w:t xml:space="preserve">volgen. </w:t>
      </w:r>
    </w:p>
    <w:p w14:paraId="5B3F88A4" w14:textId="70E663FA" w:rsidR="00355787" w:rsidRPr="00AE02C5" w:rsidRDefault="00355787" w:rsidP="00232390">
      <w:pPr>
        <w:pStyle w:val="Standaard1"/>
        <w:ind w:left="1418"/>
        <w:jc w:val="both"/>
        <w:rPr>
          <w:sz w:val="22"/>
          <w:lang w:val="nl-BE"/>
        </w:rPr>
      </w:pPr>
    </w:p>
    <w:p w14:paraId="51965D8A" w14:textId="55790C68" w:rsidR="00355787" w:rsidRPr="00AE02C5" w:rsidRDefault="005545D3" w:rsidP="00232390">
      <w:pPr>
        <w:pStyle w:val="Standaard1"/>
        <w:ind w:left="1418"/>
        <w:jc w:val="both"/>
        <w:rPr>
          <w:sz w:val="22"/>
          <w:lang w:val="nl-BE"/>
        </w:rPr>
      </w:pPr>
      <w:r w:rsidRPr="00AE02C5">
        <w:rPr>
          <w:sz w:val="22"/>
          <w:lang w:val="nl-BE"/>
        </w:rPr>
        <w:t>Zo nemen d</w:t>
      </w:r>
      <w:r w:rsidR="00355787" w:rsidRPr="00AE02C5">
        <w:rPr>
          <w:sz w:val="22"/>
          <w:lang w:val="nl-BE"/>
        </w:rPr>
        <w:t xml:space="preserve">elegaties </w:t>
      </w:r>
      <w:r w:rsidRPr="00AE02C5">
        <w:rPr>
          <w:sz w:val="22"/>
          <w:lang w:val="nl-BE"/>
        </w:rPr>
        <w:t xml:space="preserve">van de ICHR </w:t>
      </w:r>
      <w:r w:rsidR="00D665A1" w:rsidRPr="00AE02C5">
        <w:rPr>
          <w:sz w:val="22"/>
          <w:lang w:val="nl-BE"/>
        </w:rPr>
        <w:t xml:space="preserve">regelmatig </w:t>
      </w:r>
      <w:r w:rsidRPr="00AE02C5">
        <w:rPr>
          <w:sz w:val="22"/>
          <w:lang w:val="nl-BE"/>
        </w:rPr>
        <w:t xml:space="preserve">deel aan evenementen rond internationaal humanitair recht en aan regionale of </w:t>
      </w:r>
      <w:r w:rsidR="00702941" w:rsidRPr="00AE02C5">
        <w:rPr>
          <w:sz w:val="22"/>
          <w:lang w:val="nl-BE"/>
        </w:rPr>
        <w:t>internationale</w:t>
      </w:r>
      <w:r w:rsidRPr="00AE02C5">
        <w:rPr>
          <w:sz w:val="22"/>
          <w:lang w:val="nl-BE"/>
        </w:rPr>
        <w:t xml:space="preserve"> vergaderingen van Commissies voor internationaal humanitair recht. </w:t>
      </w:r>
    </w:p>
    <w:p w14:paraId="61D81AF9" w14:textId="77777777" w:rsidR="00905AFA" w:rsidRPr="00AE02C5" w:rsidRDefault="00905AFA" w:rsidP="00232390">
      <w:pPr>
        <w:pStyle w:val="Standaard1"/>
        <w:ind w:left="1418"/>
        <w:jc w:val="both"/>
        <w:rPr>
          <w:sz w:val="22"/>
          <w:lang w:val="nl-BE"/>
        </w:rPr>
      </w:pPr>
    </w:p>
    <w:p w14:paraId="0534F64F" w14:textId="6BB0B84E" w:rsidR="00B63F43" w:rsidRPr="00AE02C5" w:rsidRDefault="00C2684D" w:rsidP="00232390">
      <w:pPr>
        <w:pStyle w:val="Standaard1"/>
        <w:ind w:left="1418"/>
        <w:jc w:val="both"/>
        <w:rPr>
          <w:sz w:val="22"/>
          <w:lang w:val="nl-BE"/>
        </w:rPr>
      </w:pPr>
      <w:r w:rsidRPr="00AE02C5">
        <w:rPr>
          <w:sz w:val="22"/>
          <w:lang w:val="nl-BE"/>
        </w:rPr>
        <w:t>De Commissie organiseert ook evenementen</w:t>
      </w:r>
      <w:r w:rsidR="00A4469A" w:rsidRPr="00AE02C5">
        <w:rPr>
          <w:sz w:val="22"/>
          <w:lang w:val="nl-BE"/>
        </w:rPr>
        <w:t>,</w:t>
      </w:r>
      <w:r w:rsidRPr="00AE02C5">
        <w:rPr>
          <w:sz w:val="22"/>
          <w:lang w:val="nl-BE"/>
        </w:rPr>
        <w:t xml:space="preserve"> zoals academische zittingen, studiedagen of colloqu</w:t>
      </w:r>
      <w:r w:rsidR="00D665A1" w:rsidRPr="00AE02C5">
        <w:rPr>
          <w:sz w:val="22"/>
          <w:lang w:val="nl-BE"/>
        </w:rPr>
        <w:t xml:space="preserve">ia. Dit gebeurt </w:t>
      </w:r>
      <w:r w:rsidRPr="00AE02C5">
        <w:rPr>
          <w:sz w:val="22"/>
          <w:lang w:val="nl-BE"/>
        </w:rPr>
        <w:t>regelmatig in samenwerking met het ICRK en het Belgische Rode Kruis, en</w:t>
      </w:r>
      <w:r w:rsidR="00702941" w:rsidRPr="00AE02C5">
        <w:rPr>
          <w:sz w:val="22"/>
          <w:lang w:val="nl-BE"/>
        </w:rPr>
        <w:t>,</w:t>
      </w:r>
      <w:r w:rsidRPr="00AE02C5">
        <w:rPr>
          <w:sz w:val="22"/>
          <w:lang w:val="nl-BE"/>
        </w:rPr>
        <w:t xml:space="preserve"> in voorkomend geval</w:t>
      </w:r>
      <w:r w:rsidR="00702941" w:rsidRPr="00AE02C5">
        <w:rPr>
          <w:sz w:val="22"/>
          <w:lang w:val="nl-BE"/>
        </w:rPr>
        <w:t>,</w:t>
      </w:r>
      <w:r w:rsidRPr="00AE02C5">
        <w:rPr>
          <w:sz w:val="22"/>
          <w:lang w:val="nl-BE"/>
        </w:rPr>
        <w:t xml:space="preserve"> met </w:t>
      </w:r>
      <w:r w:rsidR="00702941" w:rsidRPr="00AE02C5">
        <w:rPr>
          <w:sz w:val="22"/>
          <w:lang w:val="nl-BE"/>
        </w:rPr>
        <w:t xml:space="preserve">de </w:t>
      </w:r>
      <w:r w:rsidRPr="00AE02C5">
        <w:rPr>
          <w:sz w:val="22"/>
          <w:lang w:val="nl-BE"/>
        </w:rPr>
        <w:t xml:space="preserve">deelname van andere instanties naargelang de gekozen thema’s. Doel van die evenementen is het internationaal humanitair recht te bevorderen en te helpen ontwikkelen. </w:t>
      </w:r>
      <w:r w:rsidR="00F94BA4" w:rsidRPr="00AE02C5">
        <w:rPr>
          <w:sz w:val="22"/>
          <w:lang w:val="nl-BE"/>
        </w:rPr>
        <w:t xml:space="preserve">Ze brengen </w:t>
      </w:r>
      <w:r w:rsidRPr="00AE02C5">
        <w:rPr>
          <w:sz w:val="22"/>
          <w:lang w:val="nl-BE"/>
        </w:rPr>
        <w:t>een</w:t>
      </w:r>
      <w:r w:rsidR="00702941" w:rsidRPr="00AE02C5">
        <w:rPr>
          <w:sz w:val="22"/>
          <w:lang w:val="nl-BE"/>
        </w:rPr>
        <w:t xml:space="preserve"> heel</w:t>
      </w:r>
      <w:r w:rsidRPr="00AE02C5">
        <w:rPr>
          <w:sz w:val="22"/>
          <w:lang w:val="nl-BE"/>
        </w:rPr>
        <w:t xml:space="preserve"> groot aantal deelnemers uit de hele wereld</w:t>
      </w:r>
      <w:r w:rsidR="00C452B1" w:rsidRPr="00AE02C5">
        <w:rPr>
          <w:sz w:val="22"/>
          <w:lang w:val="nl-BE"/>
        </w:rPr>
        <w:t xml:space="preserve"> </w:t>
      </w:r>
      <w:r w:rsidR="00F94BA4" w:rsidRPr="00AE02C5">
        <w:rPr>
          <w:sz w:val="22"/>
          <w:lang w:val="nl-BE"/>
        </w:rPr>
        <w:t>bijeen</w:t>
      </w:r>
      <w:r w:rsidRPr="00AE02C5">
        <w:rPr>
          <w:sz w:val="22"/>
          <w:lang w:val="nl-BE"/>
        </w:rPr>
        <w:t>,</w:t>
      </w:r>
      <w:r w:rsidR="00EA4792" w:rsidRPr="00AE02C5">
        <w:rPr>
          <w:sz w:val="22"/>
          <w:lang w:val="nl-BE"/>
        </w:rPr>
        <w:t xml:space="preserve"> waaronder</w:t>
      </w:r>
      <w:r w:rsidRPr="00AE02C5">
        <w:rPr>
          <w:sz w:val="22"/>
          <w:lang w:val="nl-BE"/>
        </w:rPr>
        <w:t xml:space="preserve"> deskundigen </w:t>
      </w:r>
      <w:r w:rsidR="00C452B1" w:rsidRPr="00AE02C5">
        <w:rPr>
          <w:sz w:val="22"/>
          <w:lang w:val="nl-BE"/>
        </w:rPr>
        <w:t>uit verschillende vakgebieden</w:t>
      </w:r>
      <w:r w:rsidRPr="00AE02C5">
        <w:rPr>
          <w:sz w:val="22"/>
          <w:lang w:val="nl-BE"/>
        </w:rPr>
        <w:t xml:space="preserve">, leden van ambassades in Brussel </w:t>
      </w:r>
      <w:r w:rsidR="00B63F43" w:rsidRPr="00AE02C5">
        <w:rPr>
          <w:sz w:val="22"/>
          <w:lang w:val="nl-BE"/>
        </w:rPr>
        <w:t xml:space="preserve">en vertegenwoordigers van internationale organisaties. </w:t>
      </w:r>
    </w:p>
    <w:p w14:paraId="7F7B9E9B" w14:textId="77777777" w:rsidR="00B63F43" w:rsidRPr="00AE02C5" w:rsidRDefault="00B63F43" w:rsidP="00232390">
      <w:pPr>
        <w:pStyle w:val="Standaard1"/>
        <w:ind w:left="1418"/>
        <w:jc w:val="both"/>
        <w:rPr>
          <w:sz w:val="22"/>
          <w:lang w:val="nl-BE"/>
        </w:rPr>
      </w:pPr>
    </w:p>
    <w:p w14:paraId="50766F25" w14:textId="0D4256E2" w:rsidR="00A66F3E" w:rsidRPr="00AE02C5" w:rsidRDefault="00B63F43" w:rsidP="00B63F43">
      <w:pPr>
        <w:pStyle w:val="Standaard1"/>
        <w:ind w:left="1418"/>
        <w:jc w:val="both"/>
        <w:rPr>
          <w:sz w:val="22"/>
          <w:lang w:val="nl-BE"/>
        </w:rPr>
      </w:pPr>
      <w:r w:rsidRPr="00AE02C5">
        <w:rPr>
          <w:sz w:val="22"/>
          <w:lang w:val="nl-BE"/>
        </w:rPr>
        <w:t xml:space="preserve">De meeste programma’s en handelingen van deze verschillende evenementen zijn beschikbaar op de website van de ICHR: </w:t>
      </w:r>
      <w:hyperlink r:id="rId15" w:history="1">
        <w:r w:rsidRPr="00AE02C5">
          <w:rPr>
            <w:rStyle w:val="Hyperlink"/>
            <w:sz w:val="22"/>
            <w:lang w:val="nl-BE"/>
          </w:rPr>
          <w:t>https://ichr.be/nl/evenementen</w:t>
        </w:r>
      </w:hyperlink>
      <w:r w:rsidRPr="00AE02C5">
        <w:rPr>
          <w:sz w:val="22"/>
          <w:lang w:val="nl-BE"/>
        </w:rPr>
        <w:t xml:space="preserve">. </w:t>
      </w:r>
    </w:p>
    <w:p w14:paraId="70CC93E4" w14:textId="3A08D7C4" w:rsidR="00E42ED5" w:rsidRPr="00AE02C5" w:rsidRDefault="00E42ED5" w:rsidP="00501B77">
      <w:pPr>
        <w:pStyle w:val="Standaard1"/>
        <w:jc w:val="both"/>
        <w:rPr>
          <w:sz w:val="22"/>
          <w:lang w:val="nl-BE"/>
        </w:rPr>
      </w:pPr>
    </w:p>
    <w:p w14:paraId="498C2048" w14:textId="1A1EDF8F" w:rsidR="00DD6611" w:rsidRPr="00AE02C5" w:rsidRDefault="00DD6611" w:rsidP="00232390">
      <w:pPr>
        <w:pStyle w:val="Standaard1"/>
        <w:jc w:val="both"/>
        <w:rPr>
          <w:sz w:val="22"/>
          <w:lang w:val="nl-BE"/>
        </w:rPr>
      </w:pPr>
    </w:p>
    <w:p w14:paraId="3DAEC7E7" w14:textId="64C1655F" w:rsidR="00ED3396" w:rsidRPr="00AE02C5" w:rsidRDefault="00232390" w:rsidP="00232390">
      <w:pPr>
        <w:pStyle w:val="Standaard1"/>
        <w:ind w:left="1776"/>
        <w:jc w:val="both"/>
        <w:rPr>
          <w:sz w:val="22"/>
          <w:lang w:val="nl-BE"/>
        </w:rPr>
      </w:pPr>
      <w:r w:rsidRPr="00AE02C5">
        <w:rPr>
          <w:sz w:val="22"/>
          <w:lang w:val="nl-BE"/>
        </w:rPr>
        <w:t>c</w:t>
      </w:r>
      <w:r w:rsidR="00020595" w:rsidRPr="00AE02C5">
        <w:rPr>
          <w:sz w:val="22"/>
          <w:lang w:val="nl-BE"/>
        </w:rPr>
        <w:t xml:space="preserve">) </w:t>
      </w:r>
      <w:r w:rsidR="00B63F43" w:rsidRPr="00AE02C5">
        <w:rPr>
          <w:sz w:val="22"/>
          <w:lang w:val="nl-BE"/>
        </w:rPr>
        <w:t>Website</w:t>
      </w:r>
    </w:p>
    <w:p w14:paraId="0B042F08" w14:textId="77777777" w:rsidR="00E42ED5" w:rsidRPr="00AE02C5" w:rsidRDefault="00E42ED5">
      <w:pPr>
        <w:pStyle w:val="Standaard1"/>
        <w:ind w:left="851"/>
        <w:jc w:val="both"/>
        <w:rPr>
          <w:sz w:val="22"/>
          <w:lang w:val="nl-BE"/>
        </w:rPr>
      </w:pPr>
    </w:p>
    <w:p w14:paraId="7537B9EA" w14:textId="5DAD9EE3" w:rsidR="00135377" w:rsidRPr="00AE02C5" w:rsidRDefault="00B63F43" w:rsidP="00972B65">
      <w:pPr>
        <w:pStyle w:val="Standaard1"/>
        <w:ind w:left="1440"/>
        <w:jc w:val="both"/>
        <w:rPr>
          <w:sz w:val="22"/>
          <w:lang w:val="nl-BE"/>
        </w:rPr>
      </w:pPr>
      <w:r w:rsidRPr="00AE02C5">
        <w:rPr>
          <w:sz w:val="22"/>
          <w:lang w:val="nl-BE"/>
        </w:rPr>
        <w:t>I</w:t>
      </w:r>
      <w:r w:rsidR="00135377" w:rsidRPr="00AE02C5">
        <w:rPr>
          <w:sz w:val="22"/>
          <w:lang w:val="nl-BE"/>
        </w:rPr>
        <w:t xml:space="preserve">n 2005 </w:t>
      </w:r>
      <w:r w:rsidR="00EA4792" w:rsidRPr="00AE02C5">
        <w:rPr>
          <w:sz w:val="22"/>
          <w:lang w:val="nl-BE"/>
        </w:rPr>
        <w:t>-</w:t>
      </w:r>
      <w:r w:rsidR="00135377" w:rsidRPr="00AE02C5">
        <w:rPr>
          <w:sz w:val="22"/>
          <w:lang w:val="nl-BE"/>
        </w:rPr>
        <w:t xml:space="preserve"> 2006</w:t>
      </w:r>
      <w:r w:rsidRPr="00AE02C5">
        <w:rPr>
          <w:sz w:val="22"/>
          <w:lang w:val="nl-BE"/>
        </w:rPr>
        <w:t xml:space="preserve"> is de ICHR begonnen met de opmaak van een website van de Commissie, om </w:t>
      </w:r>
      <w:r w:rsidR="003D6BC2" w:rsidRPr="00AE02C5">
        <w:rPr>
          <w:sz w:val="22"/>
          <w:lang w:val="nl-BE"/>
        </w:rPr>
        <w:t>haar</w:t>
      </w:r>
      <w:r w:rsidRPr="00AE02C5">
        <w:rPr>
          <w:sz w:val="22"/>
          <w:lang w:val="nl-BE"/>
        </w:rPr>
        <w:t xml:space="preserve"> zichtbaarheid en bekendheid te vergroten. </w:t>
      </w:r>
    </w:p>
    <w:p w14:paraId="402C1F82" w14:textId="77777777" w:rsidR="00E42ED5" w:rsidRPr="00AE02C5" w:rsidRDefault="00E42ED5">
      <w:pPr>
        <w:pStyle w:val="Standaard1"/>
        <w:ind w:left="851"/>
        <w:jc w:val="both"/>
        <w:rPr>
          <w:sz w:val="22"/>
          <w:lang w:val="nl-BE"/>
        </w:rPr>
      </w:pPr>
    </w:p>
    <w:p w14:paraId="20696665" w14:textId="2C59E854" w:rsidR="00FB5150" w:rsidRPr="00AE02C5" w:rsidRDefault="00B63F43" w:rsidP="00972B65">
      <w:pPr>
        <w:pStyle w:val="Standaard1"/>
        <w:ind w:left="1440"/>
        <w:jc w:val="both"/>
        <w:rPr>
          <w:sz w:val="22"/>
          <w:lang w:val="nl-BE"/>
        </w:rPr>
      </w:pPr>
      <w:r w:rsidRPr="00AE02C5">
        <w:rPr>
          <w:sz w:val="22"/>
          <w:lang w:val="nl-BE"/>
        </w:rPr>
        <w:t xml:space="preserve">Deze website, die aanvankelijk was ondergebracht bij de FOD Buitenlandse Zaken, werd in </w:t>
      </w:r>
      <w:r w:rsidR="00FB5150" w:rsidRPr="00AE02C5">
        <w:rPr>
          <w:sz w:val="22"/>
          <w:lang w:val="nl-BE"/>
        </w:rPr>
        <w:t>2013</w:t>
      </w:r>
      <w:r w:rsidR="003D6BC2" w:rsidRPr="00AE02C5">
        <w:rPr>
          <w:sz w:val="22"/>
          <w:lang w:val="nl-BE"/>
        </w:rPr>
        <w:t xml:space="preserve"> overgeheveld</w:t>
      </w:r>
      <w:r w:rsidRPr="00AE02C5">
        <w:rPr>
          <w:sz w:val="22"/>
          <w:lang w:val="nl-BE"/>
        </w:rPr>
        <w:t xml:space="preserve"> naar de FOD Kanselarij van de Eerste Minister</w:t>
      </w:r>
      <w:r w:rsidR="00FB5150" w:rsidRPr="00AE02C5">
        <w:rPr>
          <w:sz w:val="22"/>
          <w:lang w:val="nl-BE"/>
        </w:rPr>
        <w:t>.</w:t>
      </w:r>
      <w:r w:rsidRPr="00AE02C5">
        <w:rPr>
          <w:sz w:val="22"/>
          <w:lang w:val="nl-BE"/>
        </w:rPr>
        <w:t xml:space="preserve"> Ze werd in 2015 </w:t>
      </w:r>
      <w:r w:rsidR="00C40DF5" w:rsidRPr="00AE02C5">
        <w:rPr>
          <w:sz w:val="22"/>
          <w:lang w:val="nl-BE"/>
        </w:rPr>
        <w:t>herzien</w:t>
      </w:r>
      <w:r w:rsidRPr="00AE02C5">
        <w:rPr>
          <w:sz w:val="22"/>
          <w:lang w:val="nl-BE"/>
        </w:rPr>
        <w:t xml:space="preserve"> en wordt regelmatig aangevuld om rekening te houden met de recentste </w:t>
      </w:r>
      <w:r w:rsidRPr="00AE02C5">
        <w:rPr>
          <w:sz w:val="22"/>
          <w:lang w:val="nl-BE"/>
        </w:rPr>
        <w:lastRenderedPageBreak/>
        <w:t>activiteiten van de ICHR en andere ontwikkelingen op het vlak van het internationaal humanitair recht</w:t>
      </w:r>
      <w:r w:rsidR="00E43A8E" w:rsidRPr="00AE02C5">
        <w:rPr>
          <w:sz w:val="22"/>
          <w:lang w:val="nl-BE"/>
        </w:rPr>
        <w:t>.</w:t>
      </w:r>
      <w:r w:rsidR="001F2819" w:rsidRPr="00AE02C5">
        <w:rPr>
          <w:sz w:val="22"/>
          <w:lang w:val="nl-BE"/>
        </w:rPr>
        <w:t xml:space="preserve"> </w:t>
      </w:r>
    </w:p>
    <w:p w14:paraId="292A6293" w14:textId="77777777" w:rsidR="00232390" w:rsidRPr="00AE02C5" w:rsidRDefault="00232390" w:rsidP="001F2819">
      <w:pPr>
        <w:pStyle w:val="Standaard1"/>
        <w:ind w:left="851"/>
        <w:jc w:val="both"/>
        <w:rPr>
          <w:sz w:val="22"/>
          <w:lang w:val="nl-BE"/>
        </w:rPr>
      </w:pPr>
    </w:p>
    <w:p w14:paraId="7D07A8BB" w14:textId="22CE1963" w:rsidR="001F2819" w:rsidRPr="00AE02C5" w:rsidRDefault="00B63F43" w:rsidP="00972B65">
      <w:pPr>
        <w:pStyle w:val="Standaard1"/>
        <w:ind w:left="851" w:firstLine="565"/>
        <w:jc w:val="both"/>
        <w:rPr>
          <w:sz w:val="22"/>
          <w:lang w:val="nl-BE"/>
        </w:rPr>
      </w:pPr>
      <w:r w:rsidRPr="00AE02C5">
        <w:rPr>
          <w:sz w:val="22"/>
          <w:lang w:val="nl-BE"/>
        </w:rPr>
        <w:t>De website kan op volgend adres worden geraadpleegd</w:t>
      </w:r>
      <w:r w:rsidR="001F2819" w:rsidRPr="00AE02C5">
        <w:rPr>
          <w:sz w:val="22"/>
          <w:lang w:val="nl-BE"/>
        </w:rPr>
        <w:t xml:space="preserve">: </w:t>
      </w:r>
      <w:hyperlink r:id="rId16" w:history="1">
        <w:r w:rsidR="000B18EC" w:rsidRPr="00AE02C5">
          <w:rPr>
            <w:rStyle w:val="Hyperlink"/>
            <w:sz w:val="22"/>
            <w:lang w:val="nl-BE"/>
          </w:rPr>
          <w:t>http://cidh.be/nl</w:t>
        </w:r>
      </w:hyperlink>
      <w:r w:rsidR="001F2819" w:rsidRPr="00AE02C5">
        <w:rPr>
          <w:sz w:val="22"/>
          <w:lang w:val="nl-BE"/>
        </w:rPr>
        <w:t>.</w:t>
      </w:r>
    </w:p>
    <w:p w14:paraId="05D484CF" w14:textId="77777777" w:rsidR="00936483" w:rsidRPr="00AE02C5" w:rsidRDefault="00936483">
      <w:pPr>
        <w:pStyle w:val="Standaard1"/>
        <w:ind w:left="851"/>
        <w:jc w:val="both"/>
        <w:rPr>
          <w:sz w:val="22"/>
          <w:lang w:val="nl-BE"/>
        </w:rPr>
      </w:pPr>
    </w:p>
    <w:p w14:paraId="4924A18A" w14:textId="53E7052D" w:rsidR="00ED3396" w:rsidRPr="00AE02C5" w:rsidRDefault="00ED3396" w:rsidP="00232390">
      <w:pPr>
        <w:pStyle w:val="Standaard1"/>
        <w:jc w:val="both"/>
        <w:rPr>
          <w:sz w:val="22"/>
          <w:lang w:val="nl-BE"/>
        </w:rPr>
      </w:pPr>
    </w:p>
    <w:p w14:paraId="06014D8A" w14:textId="0CA1D491" w:rsidR="00ED3396" w:rsidRPr="00AE02C5" w:rsidRDefault="00ED3396" w:rsidP="000B18EC">
      <w:pPr>
        <w:pStyle w:val="Standaard1"/>
        <w:ind w:left="1416" w:hanging="708"/>
        <w:jc w:val="both"/>
        <w:rPr>
          <w:sz w:val="22"/>
          <w:lang w:val="nl-BE"/>
        </w:rPr>
      </w:pPr>
      <w:r w:rsidRPr="00AE02C5">
        <w:rPr>
          <w:sz w:val="22"/>
          <w:lang w:val="nl-BE"/>
        </w:rPr>
        <w:t>C.</w:t>
      </w:r>
      <w:r w:rsidRPr="00AE02C5">
        <w:rPr>
          <w:sz w:val="22"/>
          <w:lang w:val="nl-BE"/>
        </w:rPr>
        <w:tab/>
      </w:r>
      <w:r w:rsidR="00F94BA4" w:rsidRPr="00AE02C5">
        <w:rPr>
          <w:sz w:val="22"/>
          <w:lang w:val="nl-BE"/>
        </w:rPr>
        <w:t>U</w:t>
      </w:r>
      <w:r w:rsidR="000B18EC" w:rsidRPr="00AE02C5">
        <w:rPr>
          <w:sz w:val="22"/>
          <w:lang w:val="nl-BE"/>
        </w:rPr>
        <w:t xml:space="preserve">itvoering van artikel </w:t>
      </w:r>
      <w:r w:rsidRPr="00AE02C5">
        <w:rPr>
          <w:sz w:val="22"/>
          <w:lang w:val="nl-BE"/>
        </w:rPr>
        <w:t>84</w:t>
      </w:r>
      <w:r w:rsidR="000B18EC" w:rsidRPr="00AE02C5">
        <w:rPr>
          <w:sz w:val="22"/>
          <w:lang w:val="nl-BE"/>
        </w:rPr>
        <w:t xml:space="preserve"> van het </w:t>
      </w:r>
      <w:r w:rsidR="00537332" w:rsidRPr="00AE02C5">
        <w:rPr>
          <w:sz w:val="22"/>
          <w:lang w:val="nl-BE"/>
        </w:rPr>
        <w:t xml:space="preserve">eerste </w:t>
      </w:r>
      <w:r w:rsidR="000B18EC" w:rsidRPr="00AE02C5">
        <w:rPr>
          <w:sz w:val="22"/>
          <w:lang w:val="nl-BE"/>
        </w:rPr>
        <w:t xml:space="preserve">Aanvullend </w:t>
      </w:r>
      <w:r w:rsidRPr="00AE02C5">
        <w:rPr>
          <w:sz w:val="22"/>
          <w:lang w:val="nl-BE"/>
        </w:rPr>
        <w:t>Protocol</w:t>
      </w:r>
      <w:r w:rsidR="000B18EC" w:rsidRPr="00AE02C5">
        <w:rPr>
          <w:sz w:val="22"/>
          <w:lang w:val="nl-BE"/>
        </w:rPr>
        <w:t xml:space="preserve"> </w:t>
      </w:r>
    </w:p>
    <w:p w14:paraId="55A748B2" w14:textId="77777777" w:rsidR="000B18EC" w:rsidRPr="00AE02C5" w:rsidRDefault="000B18EC" w:rsidP="000B18EC">
      <w:pPr>
        <w:pStyle w:val="Standaard1"/>
        <w:ind w:left="1416" w:hanging="708"/>
        <w:jc w:val="both"/>
        <w:rPr>
          <w:sz w:val="22"/>
          <w:lang w:val="nl-BE"/>
        </w:rPr>
      </w:pPr>
    </w:p>
    <w:p w14:paraId="7B086B2A" w14:textId="2A4E04D8" w:rsidR="00ED3396" w:rsidRPr="00AE02C5" w:rsidRDefault="000B18EC">
      <w:pPr>
        <w:pStyle w:val="Standaard1"/>
        <w:ind w:left="1416"/>
        <w:jc w:val="both"/>
        <w:rPr>
          <w:sz w:val="22"/>
          <w:lang w:val="nl-BE"/>
        </w:rPr>
      </w:pPr>
      <w:r w:rsidRPr="00AE02C5">
        <w:rPr>
          <w:sz w:val="22"/>
          <w:lang w:val="nl-BE"/>
        </w:rPr>
        <w:t xml:space="preserve">Het is niet bewezen dat werd voldaan aan artikel 84 van het </w:t>
      </w:r>
      <w:r w:rsidR="00537332" w:rsidRPr="00AE02C5">
        <w:rPr>
          <w:sz w:val="22"/>
          <w:lang w:val="nl-BE"/>
        </w:rPr>
        <w:t xml:space="preserve">eerste </w:t>
      </w:r>
      <w:r w:rsidRPr="00AE02C5">
        <w:rPr>
          <w:sz w:val="22"/>
          <w:lang w:val="nl-BE"/>
        </w:rPr>
        <w:t>Aanvullend Protocol</w:t>
      </w:r>
      <w:r w:rsidR="00537332" w:rsidRPr="00AE02C5">
        <w:rPr>
          <w:sz w:val="22"/>
          <w:lang w:val="nl-BE"/>
        </w:rPr>
        <w:t xml:space="preserve"> </w:t>
      </w:r>
      <w:r w:rsidRPr="00AE02C5">
        <w:rPr>
          <w:sz w:val="22"/>
          <w:lang w:val="nl-BE"/>
        </w:rPr>
        <w:t xml:space="preserve">(en </w:t>
      </w:r>
      <w:r w:rsidR="00EA4792" w:rsidRPr="00AE02C5">
        <w:rPr>
          <w:sz w:val="22"/>
          <w:lang w:val="nl-BE"/>
        </w:rPr>
        <w:t xml:space="preserve">aan </w:t>
      </w:r>
      <w:r w:rsidRPr="00AE02C5">
        <w:rPr>
          <w:sz w:val="22"/>
          <w:lang w:val="nl-BE"/>
        </w:rPr>
        <w:t xml:space="preserve">andere </w:t>
      </w:r>
      <w:r w:rsidR="00C40DF5" w:rsidRPr="00AE02C5">
        <w:rPr>
          <w:sz w:val="22"/>
          <w:lang w:val="nl-BE"/>
        </w:rPr>
        <w:t>vermelde</w:t>
      </w:r>
      <w:r w:rsidRPr="00AE02C5">
        <w:rPr>
          <w:sz w:val="22"/>
          <w:lang w:val="nl-BE"/>
        </w:rPr>
        <w:t xml:space="preserve"> bepalingen van de </w:t>
      </w:r>
      <w:r w:rsidR="00C40DF5" w:rsidRPr="00AE02C5">
        <w:rPr>
          <w:sz w:val="22"/>
          <w:lang w:val="nl-BE"/>
        </w:rPr>
        <w:t>Verdragen</w:t>
      </w:r>
      <w:r w:rsidRPr="00AE02C5">
        <w:rPr>
          <w:sz w:val="22"/>
          <w:lang w:val="nl-BE"/>
        </w:rPr>
        <w:t xml:space="preserve"> van Genève) wat de volgende punten betreft</w:t>
      </w:r>
      <w:r w:rsidR="00ED3396" w:rsidRPr="00AE02C5">
        <w:rPr>
          <w:sz w:val="22"/>
          <w:lang w:val="nl-BE"/>
        </w:rPr>
        <w:t>:</w:t>
      </w:r>
    </w:p>
    <w:p w14:paraId="0D0427C4" w14:textId="77777777" w:rsidR="00ED3396" w:rsidRPr="00AE02C5" w:rsidRDefault="00ED3396">
      <w:pPr>
        <w:pStyle w:val="Standaard1"/>
        <w:ind w:left="708" w:hanging="708"/>
        <w:jc w:val="both"/>
        <w:rPr>
          <w:sz w:val="22"/>
          <w:lang w:val="nl-BE"/>
        </w:rPr>
      </w:pPr>
    </w:p>
    <w:p w14:paraId="73764744" w14:textId="61279494" w:rsidR="00ED3396" w:rsidRPr="00AE02C5" w:rsidRDefault="000B18EC">
      <w:pPr>
        <w:pStyle w:val="Standaard1"/>
        <w:numPr>
          <w:ilvl w:val="0"/>
          <w:numId w:val="1"/>
        </w:numPr>
        <w:ind w:left="2124"/>
        <w:jc w:val="both"/>
        <w:rPr>
          <w:sz w:val="22"/>
          <w:lang w:val="nl-BE"/>
        </w:rPr>
      </w:pPr>
      <w:r w:rsidRPr="00AE02C5">
        <w:rPr>
          <w:sz w:val="22"/>
          <w:lang w:val="nl-BE"/>
        </w:rPr>
        <w:t xml:space="preserve">mededeling van de officiële </w:t>
      </w:r>
      <w:r w:rsidR="00FC025D" w:rsidRPr="00AE02C5">
        <w:rPr>
          <w:sz w:val="22"/>
          <w:lang w:val="nl-BE"/>
        </w:rPr>
        <w:t>Nederlands</w:t>
      </w:r>
      <w:r w:rsidR="00F94BA4" w:rsidRPr="00AE02C5">
        <w:rPr>
          <w:sz w:val="22"/>
          <w:lang w:val="nl-BE"/>
        </w:rPr>
        <w:t>e vertaling</w:t>
      </w:r>
      <w:r w:rsidR="00FC025D" w:rsidRPr="00AE02C5">
        <w:rPr>
          <w:sz w:val="22"/>
          <w:lang w:val="nl-BE"/>
        </w:rPr>
        <w:t xml:space="preserve"> </w:t>
      </w:r>
      <w:r w:rsidRPr="00AE02C5">
        <w:rPr>
          <w:sz w:val="22"/>
          <w:lang w:val="nl-BE"/>
        </w:rPr>
        <w:t xml:space="preserve">van de Aanvullende Protocollen (en, zo nodig, van de </w:t>
      </w:r>
      <w:r w:rsidR="00FC025D" w:rsidRPr="00AE02C5">
        <w:rPr>
          <w:sz w:val="22"/>
          <w:lang w:val="nl-BE"/>
        </w:rPr>
        <w:t>Verdragen</w:t>
      </w:r>
      <w:r w:rsidRPr="00AE02C5">
        <w:rPr>
          <w:sz w:val="22"/>
          <w:lang w:val="nl-BE"/>
        </w:rPr>
        <w:t xml:space="preserve"> van Genève); de Nederlandse tekst maakt immers geen deel uit van de authentieke teksten in de zin van artikel 102 van Protocol I (cf. ook artikel 28 </w:t>
      </w:r>
      <w:r w:rsidR="00FC025D" w:rsidRPr="00AE02C5">
        <w:rPr>
          <w:sz w:val="22"/>
          <w:lang w:val="nl-BE"/>
        </w:rPr>
        <w:t>voor</w:t>
      </w:r>
      <w:r w:rsidRPr="00AE02C5">
        <w:rPr>
          <w:sz w:val="22"/>
          <w:lang w:val="nl-BE"/>
        </w:rPr>
        <w:t xml:space="preserve"> Protocol II en artikel 17 </w:t>
      </w:r>
      <w:r w:rsidR="00FC025D" w:rsidRPr="00AE02C5">
        <w:rPr>
          <w:sz w:val="22"/>
          <w:lang w:val="nl-BE"/>
        </w:rPr>
        <w:t>voor</w:t>
      </w:r>
      <w:r w:rsidRPr="00AE02C5">
        <w:rPr>
          <w:sz w:val="22"/>
          <w:lang w:val="nl-BE"/>
        </w:rPr>
        <w:t xml:space="preserve"> Protocol III</w:t>
      </w:r>
      <w:r w:rsidR="00ED3396" w:rsidRPr="00AE02C5">
        <w:rPr>
          <w:sz w:val="22"/>
          <w:lang w:val="nl-BE"/>
        </w:rPr>
        <w:t>);</w:t>
      </w:r>
    </w:p>
    <w:p w14:paraId="1B98FD55" w14:textId="77777777" w:rsidR="00ED3396" w:rsidRPr="00AE02C5" w:rsidRDefault="00ED3396">
      <w:pPr>
        <w:pStyle w:val="Standaard1"/>
        <w:ind w:left="1416"/>
        <w:jc w:val="both"/>
        <w:rPr>
          <w:sz w:val="22"/>
          <w:lang w:val="nl-BE"/>
        </w:rPr>
      </w:pPr>
    </w:p>
    <w:p w14:paraId="573B62A5" w14:textId="0E96F5A2" w:rsidR="00ED3396" w:rsidRPr="00AE02C5" w:rsidRDefault="000B18EC">
      <w:pPr>
        <w:pStyle w:val="Standaard1"/>
        <w:numPr>
          <w:ilvl w:val="0"/>
          <w:numId w:val="1"/>
        </w:numPr>
        <w:ind w:left="2124"/>
        <w:jc w:val="both"/>
        <w:rPr>
          <w:sz w:val="22"/>
          <w:lang w:val="nl-BE"/>
        </w:rPr>
      </w:pPr>
      <w:r w:rsidRPr="00AE02C5">
        <w:rPr>
          <w:sz w:val="22"/>
          <w:lang w:val="nl-BE"/>
        </w:rPr>
        <w:t xml:space="preserve">mededeling van de wetten en reglementen die zijn goedgekeurd om de toepassing van de Protocollen (en, zo nodig, van de </w:t>
      </w:r>
      <w:r w:rsidR="00FC025D" w:rsidRPr="00AE02C5">
        <w:rPr>
          <w:sz w:val="22"/>
          <w:lang w:val="nl-BE"/>
        </w:rPr>
        <w:t>Verdragen</w:t>
      </w:r>
      <w:r w:rsidRPr="00AE02C5">
        <w:rPr>
          <w:sz w:val="22"/>
          <w:lang w:val="nl-BE"/>
        </w:rPr>
        <w:t xml:space="preserve"> van Genève) te </w:t>
      </w:r>
      <w:r w:rsidR="00F94BA4" w:rsidRPr="00AE02C5">
        <w:rPr>
          <w:sz w:val="22"/>
          <w:lang w:val="nl-BE"/>
        </w:rPr>
        <w:t>waarborgen</w:t>
      </w:r>
      <w:r w:rsidR="00ED3396" w:rsidRPr="00AE02C5">
        <w:rPr>
          <w:sz w:val="22"/>
          <w:lang w:val="nl-BE"/>
        </w:rPr>
        <w:t>.</w:t>
      </w:r>
    </w:p>
    <w:p w14:paraId="1C4439B2" w14:textId="77777777" w:rsidR="00ED3396" w:rsidRPr="00AE02C5" w:rsidRDefault="00ED3396">
      <w:pPr>
        <w:pStyle w:val="Standaard1"/>
        <w:ind w:left="708" w:hanging="708"/>
        <w:jc w:val="both"/>
        <w:rPr>
          <w:sz w:val="22"/>
          <w:lang w:val="nl-BE"/>
        </w:rPr>
      </w:pPr>
    </w:p>
    <w:p w14:paraId="00662EC5" w14:textId="77777777" w:rsidR="00ED3396" w:rsidRPr="00AE02C5" w:rsidRDefault="00ED3396">
      <w:pPr>
        <w:pStyle w:val="Standaard1"/>
        <w:ind w:left="720"/>
        <w:jc w:val="both"/>
        <w:rPr>
          <w:sz w:val="22"/>
          <w:lang w:val="nl-BE"/>
        </w:rPr>
      </w:pPr>
    </w:p>
    <w:p w14:paraId="6B1CEB85" w14:textId="77777777" w:rsidR="00ED3396" w:rsidRPr="00AE02C5" w:rsidRDefault="00ED3396">
      <w:pPr>
        <w:pStyle w:val="Standaard1"/>
        <w:ind w:left="720"/>
        <w:jc w:val="both"/>
        <w:rPr>
          <w:sz w:val="22"/>
          <w:lang w:val="nl-BE"/>
        </w:rPr>
      </w:pPr>
    </w:p>
    <w:p w14:paraId="4F8430BF" w14:textId="3AA59DB0" w:rsidR="00ED3396" w:rsidRPr="00AE02C5" w:rsidRDefault="00ED3396">
      <w:pPr>
        <w:pStyle w:val="Standaard1"/>
        <w:shd w:val="pct10" w:color="auto" w:fill="auto"/>
        <w:ind w:left="708" w:hanging="708"/>
        <w:jc w:val="both"/>
        <w:rPr>
          <w:b/>
          <w:sz w:val="22"/>
          <w:lang w:val="nl-BE"/>
        </w:rPr>
      </w:pPr>
      <w:r w:rsidRPr="00AE02C5">
        <w:rPr>
          <w:b/>
          <w:sz w:val="22"/>
          <w:lang w:val="nl-BE"/>
        </w:rPr>
        <w:t>V.</w:t>
      </w:r>
      <w:r w:rsidRPr="00AE02C5">
        <w:rPr>
          <w:b/>
          <w:sz w:val="22"/>
          <w:lang w:val="nl-BE"/>
        </w:rPr>
        <w:tab/>
      </w:r>
      <w:r w:rsidR="000B18EC" w:rsidRPr="00AE02C5">
        <w:rPr>
          <w:b/>
          <w:sz w:val="22"/>
          <w:lang w:val="nl-BE"/>
        </w:rPr>
        <w:t>VOORSTELLEN VAN BESLISSING</w:t>
      </w:r>
    </w:p>
    <w:p w14:paraId="1D4EF91D" w14:textId="77777777" w:rsidR="00ED3396" w:rsidRPr="00AE02C5" w:rsidRDefault="00ED3396">
      <w:pPr>
        <w:pStyle w:val="Standaard1"/>
        <w:ind w:left="708" w:hanging="708"/>
        <w:jc w:val="both"/>
        <w:rPr>
          <w:sz w:val="22"/>
          <w:lang w:val="nl-BE"/>
        </w:rPr>
      </w:pPr>
    </w:p>
    <w:p w14:paraId="41CADF15" w14:textId="27EEAFF2" w:rsidR="000B18EC" w:rsidRPr="00AE02C5" w:rsidRDefault="00F94BA4" w:rsidP="000B18EC">
      <w:pPr>
        <w:pStyle w:val="Heading2"/>
        <w:numPr>
          <w:ilvl w:val="1"/>
          <w:numId w:val="42"/>
        </w:numPr>
        <w:jc w:val="both"/>
        <w:rPr>
          <w:sz w:val="22"/>
          <w:lang w:val="nl-BE"/>
        </w:rPr>
      </w:pPr>
      <w:r w:rsidRPr="00AE02C5">
        <w:rPr>
          <w:sz w:val="22"/>
          <w:lang w:val="nl-BE"/>
        </w:rPr>
        <w:t>M</w:t>
      </w:r>
      <w:r w:rsidR="000B18EC" w:rsidRPr="00AE02C5">
        <w:rPr>
          <w:sz w:val="22"/>
          <w:lang w:val="nl-BE"/>
        </w:rPr>
        <w:t xml:space="preserve">aatregelen waarbij de </w:t>
      </w:r>
      <w:r w:rsidR="00FC025D" w:rsidRPr="00AE02C5">
        <w:rPr>
          <w:sz w:val="22"/>
          <w:lang w:val="nl-BE"/>
        </w:rPr>
        <w:t>verdragen</w:t>
      </w:r>
      <w:r w:rsidR="000B18EC" w:rsidRPr="00AE02C5">
        <w:rPr>
          <w:sz w:val="22"/>
          <w:lang w:val="nl-BE"/>
        </w:rPr>
        <w:t xml:space="preserve"> in de Belgische rechtsorde worden ingevoerd</w:t>
      </w:r>
    </w:p>
    <w:p w14:paraId="118F2E3D" w14:textId="77777777" w:rsidR="00ED3396" w:rsidRPr="00AE02C5" w:rsidRDefault="00ED3396">
      <w:pPr>
        <w:pStyle w:val="Standaard1"/>
        <w:ind w:left="708" w:hanging="708"/>
        <w:jc w:val="both"/>
        <w:rPr>
          <w:sz w:val="22"/>
          <w:lang w:val="nl-BE"/>
        </w:rPr>
      </w:pPr>
    </w:p>
    <w:p w14:paraId="3CED84CB" w14:textId="7FD1F366" w:rsidR="00ED3396" w:rsidRPr="00AE02C5" w:rsidRDefault="007B1619">
      <w:pPr>
        <w:pStyle w:val="Standaard1"/>
        <w:ind w:left="1416"/>
        <w:jc w:val="both"/>
        <w:rPr>
          <w:sz w:val="22"/>
          <w:lang w:val="nl-BE"/>
        </w:rPr>
      </w:pPr>
      <w:r w:rsidRPr="00AE02C5">
        <w:rPr>
          <w:sz w:val="22"/>
          <w:lang w:val="nl-BE"/>
        </w:rPr>
        <w:t>De vereiste maatregelen werden genomen</w:t>
      </w:r>
      <w:r w:rsidR="00ED3396" w:rsidRPr="00AE02C5">
        <w:rPr>
          <w:sz w:val="22"/>
          <w:lang w:val="nl-BE"/>
        </w:rPr>
        <w:t xml:space="preserve">. </w:t>
      </w:r>
    </w:p>
    <w:p w14:paraId="7F0C4725" w14:textId="77777777" w:rsidR="00ED3396" w:rsidRPr="00AE02C5" w:rsidRDefault="00ED3396">
      <w:pPr>
        <w:pStyle w:val="Standaard1"/>
        <w:ind w:left="1416" w:hanging="708"/>
        <w:jc w:val="both"/>
        <w:rPr>
          <w:sz w:val="22"/>
          <w:lang w:val="nl-BE"/>
        </w:rPr>
      </w:pPr>
    </w:p>
    <w:p w14:paraId="151249C2" w14:textId="5C0986D5" w:rsidR="00ED3396" w:rsidRPr="00AE02C5" w:rsidRDefault="007B1619">
      <w:pPr>
        <w:pStyle w:val="Standaard1"/>
        <w:ind w:left="1416"/>
        <w:jc w:val="both"/>
        <w:rPr>
          <w:sz w:val="22"/>
          <w:lang w:val="nl-BE"/>
        </w:rPr>
      </w:pPr>
      <w:r w:rsidRPr="00AE02C5">
        <w:rPr>
          <w:sz w:val="22"/>
          <w:lang w:val="nl-BE"/>
        </w:rPr>
        <w:t xml:space="preserve">Wat evenwel de wijzigingen betreft die moeten worden aangebracht aan de interpretatieve verklaring van België met betrekking tot het </w:t>
      </w:r>
      <w:r w:rsidR="00537332" w:rsidRPr="00AE02C5">
        <w:rPr>
          <w:sz w:val="22"/>
          <w:lang w:val="nl-BE"/>
        </w:rPr>
        <w:t xml:space="preserve">eerste </w:t>
      </w:r>
      <w:r w:rsidRPr="00AE02C5">
        <w:rPr>
          <w:sz w:val="22"/>
          <w:lang w:val="nl-BE"/>
        </w:rPr>
        <w:t xml:space="preserve">Aanvullend Protocol, zie werkdocument nr. 24, “Vaststelling van de hoedanigheid van lid van de Strijdkrachten”. Die wijzigingen </w:t>
      </w:r>
      <w:r w:rsidR="00F94BA4" w:rsidRPr="00AE02C5">
        <w:rPr>
          <w:sz w:val="22"/>
          <w:lang w:val="nl-BE"/>
        </w:rPr>
        <w:t>zijn</w:t>
      </w:r>
      <w:r w:rsidR="00EA4792" w:rsidRPr="00AE02C5">
        <w:rPr>
          <w:sz w:val="22"/>
          <w:lang w:val="nl-BE"/>
        </w:rPr>
        <w:t xml:space="preserve"> verantwoord </w:t>
      </w:r>
      <w:r w:rsidR="00F94BA4" w:rsidRPr="00AE02C5">
        <w:rPr>
          <w:sz w:val="22"/>
          <w:lang w:val="nl-BE"/>
        </w:rPr>
        <w:t>gelet op de</w:t>
      </w:r>
      <w:r w:rsidRPr="00AE02C5">
        <w:rPr>
          <w:sz w:val="22"/>
          <w:lang w:val="nl-BE"/>
        </w:rPr>
        <w:t xml:space="preserve"> demilitarisering van de Rijkswacht in 1992 (wet van 5 augustus 1992) en haar integratie in de nieuwe organisatie van de politie (wet van 7 december 1998 </w:t>
      </w:r>
      <w:r w:rsidR="00FC025D" w:rsidRPr="00AE02C5">
        <w:rPr>
          <w:sz w:val="22"/>
          <w:lang w:val="nl-BE"/>
        </w:rPr>
        <w:t>tot</w:t>
      </w:r>
      <w:r w:rsidRPr="00AE02C5">
        <w:rPr>
          <w:sz w:val="22"/>
          <w:lang w:val="nl-BE"/>
        </w:rPr>
        <w:t xml:space="preserve"> organisatie van een geïntegreerde politiedienst, gestructureerd op twee niveaus; artikel 184 van de Grondwet, herzien op 30 maart 2001</w:t>
      </w:r>
      <w:r w:rsidR="00ED3396" w:rsidRPr="00AE02C5">
        <w:rPr>
          <w:sz w:val="22"/>
          <w:lang w:val="nl-BE"/>
        </w:rPr>
        <w:t>).</w:t>
      </w:r>
    </w:p>
    <w:p w14:paraId="79A45FEE" w14:textId="77777777" w:rsidR="00ED3396" w:rsidRPr="00AE02C5" w:rsidRDefault="00ED3396">
      <w:pPr>
        <w:pStyle w:val="Standaard1"/>
        <w:ind w:left="1416"/>
        <w:jc w:val="both"/>
        <w:rPr>
          <w:sz w:val="22"/>
          <w:lang w:val="nl-BE"/>
        </w:rPr>
      </w:pPr>
    </w:p>
    <w:p w14:paraId="3201201A" w14:textId="77777777" w:rsidR="00ED3396" w:rsidRPr="00AE02C5" w:rsidRDefault="00ED3396">
      <w:pPr>
        <w:pStyle w:val="Standaard1"/>
        <w:ind w:left="1416"/>
        <w:jc w:val="both"/>
        <w:rPr>
          <w:sz w:val="22"/>
          <w:lang w:val="nl-BE"/>
        </w:rPr>
      </w:pPr>
    </w:p>
    <w:p w14:paraId="70395BFC" w14:textId="77777777" w:rsidR="005531EA" w:rsidRPr="00AE02C5" w:rsidRDefault="005531EA">
      <w:pPr>
        <w:pStyle w:val="Standaard1"/>
        <w:ind w:left="1416"/>
        <w:jc w:val="both"/>
        <w:rPr>
          <w:sz w:val="22"/>
          <w:lang w:val="nl-BE"/>
        </w:rPr>
      </w:pPr>
    </w:p>
    <w:p w14:paraId="638ACAE1" w14:textId="5F05D75A" w:rsidR="00ED3396" w:rsidRPr="00AE02C5" w:rsidRDefault="00ED3396">
      <w:pPr>
        <w:pStyle w:val="Standaard1"/>
        <w:ind w:left="1416" w:hanging="708"/>
        <w:jc w:val="both"/>
        <w:rPr>
          <w:sz w:val="22"/>
          <w:lang w:val="nl-BE"/>
        </w:rPr>
      </w:pPr>
      <w:r w:rsidRPr="00AE02C5">
        <w:rPr>
          <w:sz w:val="22"/>
          <w:lang w:val="nl-BE"/>
        </w:rPr>
        <w:t>B.</w:t>
      </w:r>
      <w:r w:rsidRPr="00AE02C5">
        <w:rPr>
          <w:sz w:val="22"/>
          <w:lang w:val="nl-BE"/>
        </w:rPr>
        <w:tab/>
      </w:r>
      <w:r w:rsidR="00F94BA4" w:rsidRPr="00AE02C5">
        <w:rPr>
          <w:sz w:val="22"/>
          <w:lang w:val="nl-BE"/>
        </w:rPr>
        <w:t>N</w:t>
      </w:r>
      <w:r w:rsidR="007B1619" w:rsidRPr="00AE02C5">
        <w:rPr>
          <w:sz w:val="22"/>
          <w:lang w:val="nl-BE"/>
        </w:rPr>
        <w:t xml:space="preserve">ationale </w:t>
      </w:r>
      <w:r w:rsidR="001129C0" w:rsidRPr="00AE02C5">
        <w:rPr>
          <w:sz w:val="22"/>
          <w:lang w:val="nl-BE"/>
        </w:rPr>
        <w:t>uitvoerings</w:t>
      </w:r>
      <w:r w:rsidR="007B1619" w:rsidRPr="00AE02C5">
        <w:rPr>
          <w:sz w:val="22"/>
          <w:lang w:val="nl-BE"/>
        </w:rPr>
        <w:t xml:space="preserve">maatregelen (uitvoering van artikel 80 van het </w:t>
      </w:r>
      <w:r w:rsidR="00F94BA4" w:rsidRPr="00AE02C5">
        <w:rPr>
          <w:sz w:val="22"/>
          <w:lang w:val="nl-BE"/>
        </w:rPr>
        <w:t xml:space="preserve">eerste </w:t>
      </w:r>
      <w:r w:rsidR="007B1619" w:rsidRPr="00AE02C5">
        <w:rPr>
          <w:sz w:val="22"/>
          <w:lang w:val="nl-BE"/>
        </w:rPr>
        <w:t>Aanvullend Protocol</w:t>
      </w:r>
      <w:r w:rsidRPr="00AE02C5">
        <w:rPr>
          <w:sz w:val="22"/>
          <w:lang w:val="nl-BE"/>
        </w:rPr>
        <w:t>)</w:t>
      </w:r>
    </w:p>
    <w:p w14:paraId="5E960F26" w14:textId="77777777" w:rsidR="00ED3396" w:rsidRPr="00AE02C5" w:rsidRDefault="00ED3396">
      <w:pPr>
        <w:pStyle w:val="Standaard1"/>
        <w:ind w:left="1416" w:firstLine="2"/>
        <w:jc w:val="both"/>
        <w:rPr>
          <w:sz w:val="22"/>
          <w:lang w:val="nl-BE"/>
        </w:rPr>
      </w:pPr>
    </w:p>
    <w:p w14:paraId="3DD016D9" w14:textId="2DE7748D" w:rsidR="00ED3396" w:rsidRPr="00AE02C5" w:rsidRDefault="00B83618">
      <w:pPr>
        <w:pStyle w:val="Standaard1"/>
        <w:ind w:left="1416" w:firstLine="2"/>
        <w:jc w:val="both"/>
        <w:rPr>
          <w:sz w:val="22"/>
          <w:lang w:val="nl-BE"/>
        </w:rPr>
      </w:pPr>
      <w:r w:rsidRPr="00AE02C5">
        <w:rPr>
          <w:sz w:val="22"/>
          <w:lang w:val="nl-BE"/>
        </w:rPr>
        <w:t>De</w:t>
      </w:r>
      <w:r w:rsidR="007B1619" w:rsidRPr="00AE02C5">
        <w:rPr>
          <w:sz w:val="22"/>
          <w:lang w:val="nl-BE"/>
        </w:rPr>
        <w:t xml:space="preserve"> oprichting van de ICHR in 1987, vervolgens de uitbreiding van </w:t>
      </w:r>
      <w:r w:rsidR="00662B77" w:rsidRPr="00AE02C5">
        <w:rPr>
          <w:sz w:val="22"/>
          <w:lang w:val="nl-BE"/>
        </w:rPr>
        <w:t>haar</w:t>
      </w:r>
      <w:r w:rsidR="007B1619" w:rsidRPr="00AE02C5">
        <w:rPr>
          <w:sz w:val="22"/>
          <w:lang w:val="nl-BE"/>
        </w:rPr>
        <w:t xml:space="preserve"> mandaat in 1994 en, </w:t>
      </w:r>
      <w:r w:rsidRPr="00AE02C5">
        <w:rPr>
          <w:sz w:val="22"/>
          <w:lang w:val="nl-BE"/>
        </w:rPr>
        <w:t>tot</w:t>
      </w:r>
      <w:r w:rsidR="007B1619" w:rsidRPr="00AE02C5">
        <w:rPr>
          <w:sz w:val="22"/>
          <w:lang w:val="nl-BE"/>
        </w:rPr>
        <w:t xml:space="preserve"> slot, de officiële bekrachtiging van de ICHR door het organiek koninklijk besluit van 6 december 2000, zoals gewijzigd op</w:t>
      </w:r>
      <w:r w:rsidRPr="00AE02C5">
        <w:rPr>
          <w:sz w:val="22"/>
          <w:lang w:val="nl-BE"/>
        </w:rPr>
        <w:t xml:space="preserve"> 22 juni 2016, hebben</w:t>
      </w:r>
      <w:r w:rsidR="007B1619" w:rsidRPr="00AE02C5">
        <w:rPr>
          <w:sz w:val="22"/>
          <w:lang w:val="nl-BE"/>
        </w:rPr>
        <w:t xml:space="preserve"> de Belgische Staat</w:t>
      </w:r>
      <w:r w:rsidRPr="00AE02C5">
        <w:rPr>
          <w:sz w:val="22"/>
          <w:lang w:val="nl-BE"/>
        </w:rPr>
        <w:t xml:space="preserve"> toegelaten</w:t>
      </w:r>
      <w:r w:rsidR="007B1619" w:rsidRPr="00AE02C5">
        <w:rPr>
          <w:sz w:val="22"/>
          <w:lang w:val="nl-BE"/>
        </w:rPr>
        <w:t xml:space="preserve"> de eerste verplichting na</w:t>
      </w:r>
      <w:r w:rsidRPr="00AE02C5">
        <w:rPr>
          <w:sz w:val="22"/>
          <w:lang w:val="nl-BE"/>
        </w:rPr>
        <w:t xml:space="preserve"> te k</w:t>
      </w:r>
      <w:r w:rsidR="007B1619" w:rsidRPr="00AE02C5">
        <w:rPr>
          <w:sz w:val="22"/>
          <w:lang w:val="nl-BE"/>
        </w:rPr>
        <w:t>omen die voortvloeit uit artikel 80 van het</w:t>
      </w:r>
      <w:r w:rsidR="003D70A8" w:rsidRPr="00AE02C5">
        <w:rPr>
          <w:sz w:val="22"/>
          <w:lang w:val="nl-BE"/>
        </w:rPr>
        <w:t xml:space="preserve"> </w:t>
      </w:r>
      <w:r w:rsidRPr="00AE02C5">
        <w:rPr>
          <w:sz w:val="22"/>
          <w:lang w:val="nl-BE"/>
        </w:rPr>
        <w:t xml:space="preserve">eerste </w:t>
      </w:r>
      <w:r w:rsidR="007B1619" w:rsidRPr="00AE02C5">
        <w:rPr>
          <w:sz w:val="22"/>
          <w:lang w:val="nl-BE"/>
        </w:rPr>
        <w:t>Aanvullend Protocol, namelijk</w:t>
      </w:r>
      <w:r w:rsidRPr="00AE02C5">
        <w:rPr>
          <w:sz w:val="22"/>
          <w:lang w:val="nl-BE"/>
        </w:rPr>
        <w:t xml:space="preserve"> beschikken over </w:t>
      </w:r>
      <w:r w:rsidR="007B1619" w:rsidRPr="00AE02C5">
        <w:rPr>
          <w:sz w:val="22"/>
          <w:lang w:val="nl-BE"/>
        </w:rPr>
        <w:t xml:space="preserve">het meest </w:t>
      </w:r>
      <w:r w:rsidR="00A86A25" w:rsidRPr="00AE02C5">
        <w:rPr>
          <w:sz w:val="22"/>
          <w:lang w:val="nl-BE"/>
        </w:rPr>
        <w:t>geschikte</w:t>
      </w:r>
      <w:r w:rsidR="007B1619" w:rsidRPr="00AE02C5">
        <w:rPr>
          <w:sz w:val="22"/>
          <w:lang w:val="nl-BE"/>
        </w:rPr>
        <w:t xml:space="preserve"> instrument dat de identificatie, studie, gecoördineerde uitwerking en opvolging van nationale </w:t>
      </w:r>
      <w:r w:rsidRPr="00AE02C5">
        <w:rPr>
          <w:sz w:val="22"/>
          <w:lang w:val="nl-BE"/>
        </w:rPr>
        <w:t>uitvoerings</w:t>
      </w:r>
      <w:r w:rsidR="007B1619" w:rsidRPr="00AE02C5">
        <w:rPr>
          <w:sz w:val="22"/>
          <w:lang w:val="nl-BE"/>
        </w:rPr>
        <w:t xml:space="preserve">maatregelen van het internationaal humanitair recht op een </w:t>
      </w:r>
      <w:r w:rsidR="00662B77" w:rsidRPr="00AE02C5">
        <w:rPr>
          <w:sz w:val="22"/>
          <w:lang w:val="nl-BE"/>
        </w:rPr>
        <w:t>doeltreffende</w:t>
      </w:r>
      <w:r w:rsidR="007B1619" w:rsidRPr="00AE02C5">
        <w:rPr>
          <w:sz w:val="22"/>
          <w:lang w:val="nl-BE"/>
        </w:rPr>
        <w:t xml:space="preserve"> manier mogelijk maakt</w:t>
      </w:r>
      <w:r w:rsidR="00ED3396" w:rsidRPr="00AE02C5">
        <w:rPr>
          <w:sz w:val="22"/>
          <w:lang w:val="nl-BE"/>
        </w:rPr>
        <w:t xml:space="preserve">. </w:t>
      </w:r>
    </w:p>
    <w:p w14:paraId="730947D7" w14:textId="77777777" w:rsidR="00ED3396" w:rsidRPr="00AE02C5" w:rsidRDefault="00ED3396">
      <w:pPr>
        <w:pStyle w:val="Standaard1"/>
        <w:ind w:left="1416" w:hanging="708"/>
        <w:jc w:val="both"/>
        <w:rPr>
          <w:sz w:val="22"/>
          <w:lang w:val="nl-BE"/>
        </w:rPr>
      </w:pPr>
    </w:p>
    <w:p w14:paraId="4615E81C" w14:textId="6A3D7711" w:rsidR="00ED3396" w:rsidRPr="00AE02C5" w:rsidRDefault="007B1619">
      <w:pPr>
        <w:pStyle w:val="Standaard1"/>
        <w:ind w:left="1416"/>
        <w:jc w:val="both"/>
        <w:rPr>
          <w:sz w:val="22"/>
          <w:lang w:val="nl-BE"/>
        </w:rPr>
      </w:pPr>
      <w:r w:rsidRPr="00AE02C5">
        <w:rPr>
          <w:sz w:val="22"/>
          <w:lang w:val="nl-BE"/>
        </w:rPr>
        <w:t xml:space="preserve">De studie die de ICHR </w:t>
      </w:r>
      <w:r w:rsidR="00A86A25" w:rsidRPr="00AE02C5">
        <w:rPr>
          <w:sz w:val="22"/>
          <w:lang w:val="nl-BE"/>
        </w:rPr>
        <w:t>heeft</w:t>
      </w:r>
      <w:r w:rsidRPr="00AE02C5">
        <w:rPr>
          <w:sz w:val="22"/>
          <w:lang w:val="nl-BE"/>
        </w:rPr>
        <w:t xml:space="preserve"> uitgevoerd met het oog op de concrete goedkeuring van elk van de </w:t>
      </w:r>
      <w:r w:rsidR="00662B77" w:rsidRPr="00AE02C5">
        <w:rPr>
          <w:sz w:val="22"/>
          <w:lang w:val="nl-BE"/>
        </w:rPr>
        <w:t>uitvoering</w:t>
      </w:r>
      <w:r w:rsidR="008162E5" w:rsidRPr="00AE02C5">
        <w:rPr>
          <w:sz w:val="22"/>
          <w:lang w:val="nl-BE"/>
        </w:rPr>
        <w:t>smaatregelen</w:t>
      </w:r>
      <w:r w:rsidRPr="00AE02C5">
        <w:rPr>
          <w:sz w:val="22"/>
          <w:lang w:val="nl-BE"/>
        </w:rPr>
        <w:t xml:space="preserve">, is opgenomen in het werkdocument met betrekking tot die maatregelen. </w:t>
      </w:r>
      <w:bookmarkStart w:id="31" w:name="_Hlk528173"/>
      <w:r w:rsidR="00B83618" w:rsidRPr="00AE02C5">
        <w:rPr>
          <w:sz w:val="22"/>
          <w:lang w:val="nl-BE"/>
        </w:rPr>
        <w:t>Deze</w:t>
      </w:r>
      <w:r w:rsidRPr="00AE02C5">
        <w:rPr>
          <w:sz w:val="22"/>
          <w:lang w:val="nl-BE"/>
        </w:rPr>
        <w:t xml:space="preserve"> bundel</w:t>
      </w:r>
      <w:r w:rsidR="00B83618" w:rsidRPr="00AE02C5">
        <w:rPr>
          <w:sz w:val="22"/>
          <w:lang w:val="nl-BE"/>
        </w:rPr>
        <w:t xml:space="preserve"> bevat dus zowel het werkdocument als de studie</w:t>
      </w:r>
      <w:r w:rsidR="00ED3396" w:rsidRPr="00AE02C5">
        <w:rPr>
          <w:sz w:val="22"/>
          <w:lang w:val="nl-BE"/>
        </w:rPr>
        <w:t>.</w:t>
      </w:r>
    </w:p>
    <w:bookmarkEnd w:id="31"/>
    <w:p w14:paraId="51764E51" w14:textId="77777777" w:rsidR="00ED3396" w:rsidRPr="00AE02C5" w:rsidRDefault="00ED3396">
      <w:pPr>
        <w:pStyle w:val="Standaard1"/>
        <w:ind w:left="1416" w:hanging="708"/>
        <w:jc w:val="both"/>
        <w:rPr>
          <w:sz w:val="22"/>
          <w:lang w:val="nl-BE"/>
        </w:rPr>
      </w:pPr>
    </w:p>
    <w:p w14:paraId="4C11BC99" w14:textId="3BF3C571" w:rsidR="008162E5" w:rsidRPr="00AE02C5" w:rsidRDefault="007B1619">
      <w:pPr>
        <w:pStyle w:val="Standaard1"/>
        <w:ind w:left="1416"/>
        <w:jc w:val="both"/>
        <w:rPr>
          <w:sz w:val="22"/>
          <w:lang w:val="nl-BE"/>
        </w:rPr>
      </w:pPr>
      <w:r w:rsidRPr="00AE02C5">
        <w:rPr>
          <w:sz w:val="22"/>
          <w:lang w:val="nl-BE"/>
        </w:rPr>
        <w:t xml:space="preserve">De ICHR </w:t>
      </w:r>
      <w:r w:rsidR="008162E5" w:rsidRPr="00AE02C5">
        <w:rPr>
          <w:sz w:val="22"/>
          <w:lang w:val="nl-BE"/>
        </w:rPr>
        <w:t>meent</w:t>
      </w:r>
      <w:r w:rsidRPr="00AE02C5">
        <w:rPr>
          <w:sz w:val="22"/>
          <w:lang w:val="nl-BE"/>
        </w:rPr>
        <w:t xml:space="preserve"> dat zij door het opstellen, uitgeven en verspreiden van deze bundel het eerste deel van haar oorspronkelijke opdracht heeft volbracht, namelijk het o</w:t>
      </w:r>
      <w:r w:rsidR="008162E5" w:rsidRPr="00AE02C5">
        <w:rPr>
          <w:sz w:val="22"/>
          <w:lang w:val="nl-BE"/>
        </w:rPr>
        <w:t>pmaken van de inventaris alsook</w:t>
      </w:r>
      <w:r w:rsidRPr="00AE02C5">
        <w:rPr>
          <w:sz w:val="22"/>
          <w:lang w:val="nl-BE"/>
        </w:rPr>
        <w:t xml:space="preserve"> de voorstellen van </w:t>
      </w:r>
      <w:r w:rsidR="00662B77" w:rsidRPr="00AE02C5">
        <w:rPr>
          <w:sz w:val="22"/>
          <w:lang w:val="nl-BE"/>
        </w:rPr>
        <w:t>uitvoering</w:t>
      </w:r>
      <w:r w:rsidR="00B83618" w:rsidRPr="00AE02C5">
        <w:rPr>
          <w:sz w:val="22"/>
          <w:lang w:val="nl-BE"/>
        </w:rPr>
        <w:t>smaatregelen</w:t>
      </w:r>
      <w:r w:rsidRPr="00AE02C5">
        <w:rPr>
          <w:sz w:val="22"/>
          <w:lang w:val="nl-BE"/>
        </w:rPr>
        <w:t xml:space="preserve"> van de Aanvullende Protocollen en, zo nodig, van de </w:t>
      </w:r>
      <w:r w:rsidR="00662B77" w:rsidRPr="00AE02C5">
        <w:rPr>
          <w:sz w:val="22"/>
          <w:lang w:val="nl-BE"/>
        </w:rPr>
        <w:t>Verdragen</w:t>
      </w:r>
      <w:r w:rsidRPr="00AE02C5">
        <w:rPr>
          <w:sz w:val="22"/>
          <w:lang w:val="nl-BE"/>
        </w:rPr>
        <w:t xml:space="preserve"> van Genève. </w:t>
      </w:r>
      <w:r w:rsidR="00293F3F" w:rsidRPr="00AE02C5">
        <w:rPr>
          <w:sz w:val="22"/>
          <w:lang w:val="nl-BE"/>
        </w:rPr>
        <w:t>De ICHR heeft heel nuttig werk verricht; zij heeft de basis gelegd voor concrete maatregelen zoals de aanstelling en opleiding van</w:t>
      </w:r>
      <w:r w:rsidR="00A86A25" w:rsidRPr="00AE02C5">
        <w:rPr>
          <w:sz w:val="22"/>
          <w:lang w:val="nl-BE"/>
        </w:rPr>
        <w:t xml:space="preserve"> het</w:t>
      </w:r>
      <w:r w:rsidR="00293F3F" w:rsidRPr="00AE02C5">
        <w:rPr>
          <w:sz w:val="22"/>
          <w:lang w:val="nl-BE"/>
        </w:rPr>
        <w:t xml:space="preserve"> deskundig personeel, de aanstelling van </w:t>
      </w:r>
      <w:r w:rsidR="00B64AC0" w:rsidRPr="00AE02C5">
        <w:rPr>
          <w:sz w:val="22"/>
          <w:lang w:val="nl-BE"/>
        </w:rPr>
        <w:t xml:space="preserve">de </w:t>
      </w:r>
      <w:r w:rsidR="00293F3F" w:rsidRPr="00AE02C5">
        <w:rPr>
          <w:sz w:val="22"/>
          <w:lang w:val="nl-BE"/>
        </w:rPr>
        <w:t xml:space="preserve">raadgevers in het recht van de gewapende conflicten bij </w:t>
      </w:r>
      <w:r w:rsidR="00B64AC0" w:rsidRPr="00AE02C5">
        <w:rPr>
          <w:sz w:val="22"/>
          <w:lang w:val="nl-BE"/>
        </w:rPr>
        <w:t>de Krijgsmacht</w:t>
      </w:r>
      <w:r w:rsidR="00293F3F" w:rsidRPr="00AE02C5">
        <w:rPr>
          <w:sz w:val="22"/>
          <w:lang w:val="nl-BE"/>
        </w:rPr>
        <w:t>, de opname van het humanitair recht in de militair</w:t>
      </w:r>
      <w:r w:rsidR="008A2C90" w:rsidRPr="00AE02C5">
        <w:rPr>
          <w:sz w:val="22"/>
          <w:lang w:val="nl-BE"/>
        </w:rPr>
        <w:t>e</w:t>
      </w:r>
      <w:r w:rsidR="00293F3F" w:rsidRPr="00AE02C5">
        <w:rPr>
          <w:sz w:val="22"/>
          <w:lang w:val="nl-BE"/>
        </w:rPr>
        <w:t xml:space="preserve"> </w:t>
      </w:r>
      <w:r w:rsidR="008A2C90" w:rsidRPr="00AE02C5">
        <w:rPr>
          <w:sz w:val="22"/>
          <w:lang w:val="nl-BE"/>
        </w:rPr>
        <w:t>opleidingsprogramma’s</w:t>
      </w:r>
      <w:r w:rsidR="00293F3F" w:rsidRPr="00AE02C5">
        <w:rPr>
          <w:sz w:val="22"/>
          <w:lang w:val="nl-BE"/>
        </w:rPr>
        <w:t>, de erkenning van de bevoegdheid van de</w:t>
      </w:r>
      <w:r w:rsidR="008A2C90" w:rsidRPr="00AE02C5">
        <w:rPr>
          <w:sz w:val="22"/>
          <w:lang w:val="nl-BE"/>
        </w:rPr>
        <w:t xml:space="preserve"> Internationale Commissie voor f</w:t>
      </w:r>
      <w:r w:rsidR="00293F3F" w:rsidRPr="00AE02C5">
        <w:rPr>
          <w:sz w:val="22"/>
          <w:lang w:val="nl-BE"/>
        </w:rPr>
        <w:t xml:space="preserve">eitenonderzoek en de goedkeuring </w:t>
      </w:r>
      <w:r w:rsidR="00C6697F" w:rsidRPr="00AE02C5">
        <w:rPr>
          <w:sz w:val="22"/>
          <w:lang w:val="nl-BE"/>
        </w:rPr>
        <w:t>of</w:t>
      </w:r>
      <w:r w:rsidR="00293F3F" w:rsidRPr="00AE02C5">
        <w:rPr>
          <w:sz w:val="22"/>
          <w:lang w:val="nl-BE"/>
        </w:rPr>
        <w:t xml:space="preserve"> wijziging van </w:t>
      </w:r>
      <w:r w:rsidR="00C6697F" w:rsidRPr="00AE02C5">
        <w:rPr>
          <w:sz w:val="22"/>
          <w:lang w:val="nl-BE"/>
        </w:rPr>
        <w:t>sommige</w:t>
      </w:r>
      <w:r w:rsidR="00293F3F" w:rsidRPr="00AE02C5">
        <w:rPr>
          <w:sz w:val="22"/>
          <w:lang w:val="nl-BE"/>
        </w:rPr>
        <w:t xml:space="preserve"> wettelijke en reglementaire teksten</w:t>
      </w:r>
      <w:r w:rsidR="00C6697F" w:rsidRPr="00AE02C5">
        <w:rPr>
          <w:sz w:val="22"/>
          <w:lang w:val="nl-BE"/>
        </w:rPr>
        <w:t xml:space="preserve">, meer bepaald </w:t>
      </w:r>
      <w:r w:rsidR="00293F3F" w:rsidRPr="00AE02C5">
        <w:rPr>
          <w:sz w:val="22"/>
          <w:lang w:val="nl-BE"/>
        </w:rPr>
        <w:t xml:space="preserve">de wet van 16 juni 1993 betreffende de bestraffing van de ernstige inbreuken op de </w:t>
      </w:r>
      <w:r w:rsidR="00C6697F" w:rsidRPr="00AE02C5">
        <w:rPr>
          <w:sz w:val="22"/>
          <w:lang w:val="nl-BE"/>
        </w:rPr>
        <w:t>Verdragen</w:t>
      </w:r>
      <w:r w:rsidR="00293F3F" w:rsidRPr="00AE02C5">
        <w:rPr>
          <w:sz w:val="22"/>
          <w:lang w:val="nl-BE"/>
        </w:rPr>
        <w:t xml:space="preserve"> van Genève en</w:t>
      </w:r>
      <w:r w:rsidR="00C6697F" w:rsidRPr="00AE02C5">
        <w:rPr>
          <w:sz w:val="22"/>
          <w:lang w:val="nl-BE"/>
        </w:rPr>
        <w:t xml:space="preserve"> op</w:t>
      </w:r>
      <w:r w:rsidR="00293F3F" w:rsidRPr="00AE02C5">
        <w:rPr>
          <w:sz w:val="22"/>
          <w:lang w:val="nl-BE"/>
        </w:rPr>
        <w:t xml:space="preserve"> de Aanvullende Protocollen (nadien opgeheven en vervangen door de wet van 5 augustus 2003 betreffende ernstige schendingen van het internationaal humanitair recht</w:t>
      </w:r>
      <w:r w:rsidR="00C6697F" w:rsidRPr="00AE02C5">
        <w:rPr>
          <w:sz w:val="22"/>
          <w:lang w:val="nl-BE"/>
        </w:rPr>
        <w:t>).</w:t>
      </w:r>
    </w:p>
    <w:p w14:paraId="52A3BC9A" w14:textId="77777777" w:rsidR="008162E5" w:rsidRPr="00AE02C5" w:rsidRDefault="008162E5">
      <w:pPr>
        <w:pStyle w:val="Standaard1"/>
        <w:ind w:left="1416"/>
        <w:jc w:val="both"/>
        <w:rPr>
          <w:sz w:val="22"/>
          <w:lang w:val="nl-BE"/>
        </w:rPr>
      </w:pPr>
    </w:p>
    <w:p w14:paraId="7C6B460F" w14:textId="56B406A6" w:rsidR="009E4052" w:rsidRPr="00AE02C5" w:rsidRDefault="008162E5">
      <w:pPr>
        <w:pStyle w:val="Standaard1"/>
        <w:ind w:left="1416"/>
        <w:jc w:val="both"/>
        <w:rPr>
          <w:sz w:val="22"/>
          <w:lang w:val="nl-BE"/>
        </w:rPr>
      </w:pPr>
      <w:r w:rsidRPr="00AE02C5">
        <w:rPr>
          <w:sz w:val="22"/>
          <w:lang w:val="nl-BE"/>
        </w:rPr>
        <w:t xml:space="preserve">Het tweede onderdeel van haar oorspronkelijke bevoegdheden, namelijk de opvolging en coördinatie van die maatregelen, alsook de </w:t>
      </w:r>
      <w:r w:rsidR="00C6697F" w:rsidRPr="00AE02C5">
        <w:rPr>
          <w:sz w:val="22"/>
          <w:lang w:val="nl-BE"/>
        </w:rPr>
        <w:t>regelmatige</w:t>
      </w:r>
      <w:r w:rsidRPr="00AE02C5">
        <w:rPr>
          <w:sz w:val="22"/>
          <w:lang w:val="nl-BE"/>
        </w:rPr>
        <w:t xml:space="preserve"> bijwerking van deze werkdocumenten, is een permanente en doorlopende taak van de ICHR. </w:t>
      </w:r>
      <w:r w:rsidR="00C6697F" w:rsidRPr="00AE02C5">
        <w:rPr>
          <w:sz w:val="22"/>
          <w:lang w:val="nl-BE"/>
        </w:rPr>
        <w:t>H</w:t>
      </w:r>
      <w:r w:rsidR="00C35DAD" w:rsidRPr="00AE02C5">
        <w:rPr>
          <w:sz w:val="22"/>
          <w:lang w:val="nl-BE"/>
        </w:rPr>
        <w:t xml:space="preserve">oewel sommige verplichtingen een permanent </w:t>
      </w:r>
      <w:r w:rsidR="00B83618" w:rsidRPr="00AE02C5">
        <w:rPr>
          <w:sz w:val="22"/>
          <w:lang w:val="nl-BE"/>
        </w:rPr>
        <w:t>karakter hebben</w:t>
      </w:r>
      <w:r w:rsidR="00C35DAD" w:rsidRPr="00AE02C5">
        <w:rPr>
          <w:sz w:val="22"/>
          <w:lang w:val="nl-BE"/>
        </w:rPr>
        <w:t xml:space="preserve"> (bijv. de verspreiding van het internationaal humanitair recht), </w:t>
      </w:r>
      <w:r w:rsidR="00C6697F" w:rsidRPr="00AE02C5">
        <w:rPr>
          <w:sz w:val="22"/>
          <w:lang w:val="nl-BE"/>
        </w:rPr>
        <w:t xml:space="preserve">werden </w:t>
      </w:r>
      <w:r w:rsidR="00C35DAD" w:rsidRPr="00AE02C5">
        <w:rPr>
          <w:sz w:val="22"/>
          <w:lang w:val="nl-BE"/>
        </w:rPr>
        <w:t>andere</w:t>
      </w:r>
      <w:r w:rsidR="00C6697F" w:rsidRPr="00AE02C5">
        <w:rPr>
          <w:sz w:val="22"/>
          <w:lang w:val="nl-BE"/>
        </w:rPr>
        <w:t xml:space="preserve"> </w:t>
      </w:r>
      <w:r w:rsidR="008A2C90" w:rsidRPr="00AE02C5">
        <w:rPr>
          <w:sz w:val="22"/>
          <w:lang w:val="nl-BE"/>
        </w:rPr>
        <w:t xml:space="preserve">verplichtingen </w:t>
      </w:r>
      <w:r w:rsidR="00C35DAD" w:rsidRPr="00AE02C5">
        <w:rPr>
          <w:sz w:val="22"/>
          <w:lang w:val="nl-BE"/>
        </w:rPr>
        <w:t>vervuld en</w:t>
      </w:r>
      <w:r w:rsidR="00C6697F" w:rsidRPr="00AE02C5">
        <w:rPr>
          <w:sz w:val="22"/>
          <w:lang w:val="nl-BE"/>
        </w:rPr>
        <w:t xml:space="preserve"> vereisen </w:t>
      </w:r>
      <w:r w:rsidR="00B83618" w:rsidRPr="00AE02C5">
        <w:rPr>
          <w:sz w:val="22"/>
          <w:lang w:val="nl-BE"/>
        </w:rPr>
        <w:t xml:space="preserve">ze </w:t>
      </w:r>
      <w:r w:rsidR="00C6697F" w:rsidRPr="00AE02C5">
        <w:rPr>
          <w:sz w:val="22"/>
          <w:lang w:val="nl-BE"/>
        </w:rPr>
        <w:t>dus</w:t>
      </w:r>
      <w:r w:rsidR="00C35DAD" w:rsidRPr="00AE02C5">
        <w:rPr>
          <w:sz w:val="22"/>
          <w:lang w:val="nl-BE"/>
        </w:rPr>
        <w:t xml:space="preserve"> geen uitvoeringsmaatregelen meer (</w:t>
      </w:r>
      <w:r w:rsidR="00B83618" w:rsidRPr="00AE02C5">
        <w:rPr>
          <w:sz w:val="22"/>
          <w:lang w:val="nl-BE"/>
        </w:rPr>
        <w:t xml:space="preserve">bijv. </w:t>
      </w:r>
      <w:r w:rsidR="00C35DAD" w:rsidRPr="00AE02C5">
        <w:rPr>
          <w:sz w:val="22"/>
          <w:lang w:val="nl-BE"/>
        </w:rPr>
        <w:t>artikel</w:t>
      </w:r>
      <w:r w:rsidR="00357246" w:rsidRPr="00AE02C5">
        <w:rPr>
          <w:sz w:val="22"/>
          <w:lang w:val="nl-BE"/>
        </w:rPr>
        <w:t xml:space="preserve"> 85 </w:t>
      </w:r>
      <w:r w:rsidR="00C35DAD" w:rsidRPr="00AE02C5">
        <w:rPr>
          <w:sz w:val="22"/>
          <w:lang w:val="nl-BE"/>
        </w:rPr>
        <w:t xml:space="preserve">van </w:t>
      </w:r>
      <w:r w:rsidR="00BE5779" w:rsidRPr="00AE02C5">
        <w:rPr>
          <w:sz w:val="22"/>
          <w:lang w:val="nl-BE"/>
        </w:rPr>
        <w:t>P</w:t>
      </w:r>
      <w:r w:rsidR="00357246" w:rsidRPr="00AE02C5">
        <w:rPr>
          <w:sz w:val="22"/>
          <w:lang w:val="nl-BE"/>
        </w:rPr>
        <w:t xml:space="preserve">rotocol I </w:t>
      </w:r>
      <w:r w:rsidR="00C6697F" w:rsidRPr="00AE02C5">
        <w:rPr>
          <w:sz w:val="22"/>
          <w:lang w:val="nl-BE"/>
        </w:rPr>
        <w:t xml:space="preserve">betreffende de bestraffing van ernstige inbreuken op de Verdragen van </w:t>
      </w:r>
      <w:r w:rsidR="00357246" w:rsidRPr="00AE02C5">
        <w:rPr>
          <w:sz w:val="22"/>
          <w:lang w:val="nl-BE"/>
        </w:rPr>
        <w:t>Genève e</w:t>
      </w:r>
      <w:r w:rsidR="00C6697F" w:rsidRPr="00AE02C5">
        <w:rPr>
          <w:sz w:val="22"/>
          <w:lang w:val="nl-BE"/>
        </w:rPr>
        <w:t xml:space="preserve">n op de Aanvullende Protocollen </w:t>
      </w:r>
      <w:r w:rsidR="00C35DAD" w:rsidRPr="00AE02C5">
        <w:rPr>
          <w:sz w:val="22"/>
          <w:lang w:val="nl-BE"/>
        </w:rPr>
        <w:t>werd volledig uitgevoerd</w:t>
      </w:r>
      <w:r w:rsidR="00357246" w:rsidRPr="00AE02C5">
        <w:rPr>
          <w:sz w:val="22"/>
          <w:lang w:val="nl-BE"/>
        </w:rPr>
        <w:t>).</w:t>
      </w:r>
    </w:p>
    <w:p w14:paraId="28184A8A" w14:textId="77777777" w:rsidR="00ED3396" w:rsidRPr="00AE02C5" w:rsidRDefault="00ED3396" w:rsidP="00232390">
      <w:pPr>
        <w:pStyle w:val="Standaard1"/>
        <w:ind w:left="1416"/>
        <w:jc w:val="both"/>
        <w:rPr>
          <w:sz w:val="22"/>
          <w:lang w:val="nl-BE"/>
        </w:rPr>
      </w:pPr>
    </w:p>
    <w:p w14:paraId="46F06840" w14:textId="7BAE4E0C" w:rsidR="00ED3396" w:rsidRPr="00AE02C5" w:rsidRDefault="00C35DAD">
      <w:pPr>
        <w:pStyle w:val="Standaard1"/>
        <w:ind w:left="1416"/>
        <w:jc w:val="both"/>
        <w:rPr>
          <w:sz w:val="22"/>
          <w:lang w:val="nl-BE"/>
        </w:rPr>
      </w:pPr>
      <w:r w:rsidRPr="00AE02C5">
        <w:rPr>
          <w:sz w:val="22"/>
          <w:lang w:val="nl-BE"/>
        </w:rPr>
        <w:t xml:space="preserve">Rekening houdend met het mandaat dat aan de ICHR werd gegeven bij </w:t>
      </w:r>
      <w:r w:rsidR="00D96500" w:rsidRPr="00AE02C5">
        <w:rPr>
          <w:sz w:val="22"/>
          <w:lang w:val="nl-BE"/>
        </w:rPr>
        <w:t xml:space="preserve">de </w:t>
      </w:r>
      <w:r w:rsidRPr="00AE02C5">
        <w:rPr>
          <w:sz w:val="22"/>
          <w:lang w:val="nl-BE"/>
        </w:rPr>
        <w:t xml:space="preserve">beslissing van de Ministerraad van 23 december 1994 en dat door het koninklijk besluit van 6 december 2000 werd bekrachtigd, is zij gemachtigd </w:t>
      </w:r>
      <w:r w:rsidR="005E268D" w:rsidRPr="00AE02C5">
        <w:rPr>
          <w:sz w:val="22"/>
          <w:lang w:val="nl-BE"/>
        </w:rPr>
        <w:t xml:space="preserve">om </w:t>
      </w:r>
      <w:r w:rsidRPr="00AE02C5">
        <w:rPr>
          <w:sz w:val="22"/>
          <w:lang w:val="nl-BE"/>
        </w:rPr>
        <w:t xml:space="preserve">nieuwe initiatieven te nemen, waaronder prioritair deze </w:t>
      </w:r>
      <w:r w:rsidR="00B83618" w:rsidRPr="00AE02C5">
        <w:rPr>
          <w:sz w:val="22"/>
          <w:lang w:val="nl-BE"/>
        </w:rPr>
        <w:t>die</w:t>
      </w:r>
      <w:r w:rsidRPr="00AE02C5">
        <w:rPr>
          <w:sz w:val="22"/>
          <w:lang w:val="nl-BE"/>
        </w:rPr>
        <w:t xml:space="preserve"> de </w:t>
      </w:r>
      <w:r w:rsidR="00B83618" w:rsidRPr="00AE02C5">
        <w:rPr>
          <w:sz w:val="22"/>
          <w:lang w:val="nl-BE"/>
        </w:rPr>
        <w:t>permanente</w:t>
      </w:r>
      <w:r w:rsidRPr="00AE02C5">
        <w:rPr>
          <w:sz w:val="22"/>
          <w:lang w:val="nl-BE"/>
        </w:rPr>
        <w:t xml:space="preserve"> medewerking van de Gemeenschappen en Gewesten </w:t>
      </w:r>
      <w:r w:rsidR="005D6A8E" w:rsidRPr="00AE02C5">
        <w:rPr>
          <w:sz w:val="22"/>
          <w:lang w:val="nl-BE"/>
        </w:rPr>
        <w:t>moeten waarborgen</w:t>
      </w:r>
      <w:r w:rsidRPr="00AE02C5">
        <w:rPr>
          <w:sz w:val="22"/>
          <w:lang w:val="nl-BE"/>
        </w:rPr>
        <w:t xml:space="preserve">. Andere initiatieven zullen </w:t>
      </w:r>
      <w:r w:rsidR="000432A8" w:rsidRPr="00AE02C5">
        <w:rPr>
          <w:sz w:val="22"/>
          <w:lang w:val="nl-BE"/>
        </w:rPr>
        <w:t>verband houden met</w:t>
      </w:r>
      <w:r w:rsidRPr="00AE02C5">
        <w:rPr>
          <w:sz w:val="22"/>
          <w:lang w:val="nl-BE"/>
        </w:rPr>
        <w:t xml:space="preserve"> de uitvoering van de bevoegdheden van de ICHR als adviesorgaan van de </w:t>
      </w:r>
      <w:r w:rsidR="00B7585A" w:rsidRPr="00AE02C5">
        <w:rPr>
          <w:sz w:val="22"/>
          <w:lang w:val="nl-BE"/>
        </w:rPr>
        <w:t>r</w:t>
      </w:r>
      <w:r w:rsidRPr="00AE02C5">
        <w:rPr>
          <w:sz w:val="22"/>
          <w:lang w:val="nl-BE"/>
        </w:rPr>
        <w:t>egering inzake internationaal humanitair recht</w:t>
      </w:r>
      <w:r w:rsidR="00A65E91" w:rsidRPr="00AE02C5">
        <w:rPr>
          <w:sz w:val="22"/>
          <w:lang w:val="nl-BE"/>
        </w:rPr>
        <w:t>.</w:t>
      </w:r>
      <w:r w:rsidRPr="00AE02C5">
        <w:rPr>
          <w:sz w:val="22"/>
          <w:lang w:val="nl-BE"/>
        </w:rPr>
        <w:t xml:space="preserve"> </w:t>
      </w:r>
      <w:r w:rsidR="00510FB4" w:rsidRPr="00AE02C5">
        <w:rPr>
          <w:sz w:val="22"/>
          <w:lang w:val="nl-BE"/>
        </w:rPr>
        <w:t>In dit verband</w:t>
      </w:r>
      <w:r w:rsidRPr="00AE02C5">
        <w:rPr>
          <w:sz w:val="22"/>
          <w:lang w:val="nl-BE"/>
        </w:rPr>
        <w:t xml:space="preserve"> moet worden opgemerkt dat deze rol van adviesorgaan, op verzoek van de </w:t>
      </w:r>
      <w:r w:rsidR="00B7585A" w:rsidRPr="00AE02C5">
        <w:rPr>
          <w:sz w:val="22"/>
          <w:lang w:val="nl-BE"/>
        </w:rPr>
        <w:t>r</w:t>
      </w:r>
      <w:r w:rsidRPr="00AE02C5">
        <w:rPr>
          <w:sz w:val="22"/>
          <w:lang w:val="nl-BE"/>
        </w:rPr>
        <w:t xml:space="preserve">egering of op initiatief van de Commissie zelf, de laatste jaren </w:t>
      </w:r>
      <w:r w:rsidR="00D242E0" w:rsidRPr="00AE02C5">
        <w:rPr>
          <w:sz w:val="22"/>
          <w:lang w:val="nl-BE"/>
        </w:rPr>
        <w:t xml:space="preserve">een </w:t>
      </w:r>
      <w:r w:rsidRPr="00AE02C5">
        <w:rPr>
          <w:sz w:val="22"/>
          <w:lang w:val="nl-BE"/>
        </w:rPr>
        <w:t>duidelijk</w:t>
      </w:r>
      <w:r w:rsidR="00D242E0" w:rsidRPr="00AE02C5">
        <w:rPr>
          <w:sz w:val="22"/>
          <w:lang w:val="nl-BE"/>
        </w:rPr>
        <w:t xml:space="preserve">e ontwikkeling heeft </w:t>
      </w:r>
      <w:r w:rsidR="002D5B00" w:rsidRPr="00AE02C5">
        <w:rPr>
          <w:sz w:val="22"/>
          <w:lang w:val="nl-BE"/>
        </w:rPr>
        <w:t>doorgemaakt</w:t>
      </w:r>
      <w:r w:rsidR="00D242E0" w:rsidRPr="00AE02C5">
        <w:rPr>
          <w:sz w:val="22"/>
          <w:lang w:val="nl-BE"/>
        </w:rPr>
        <w:t>.</w:t>
      </w:r>
      <w:r w:rsidRPr="00AE02C5">
        <w:rPr>
          <w:sz w:val="22"/>
          <w:lang w:val="nl-BE"/>
        </w:rPr>
        <w:t xml:space="preserve"> </w:t>
      </w:r>
    </w:p>
    <w:p w14:paraId="0FDC2A1B" w14:textId="7681E141" w:rsidR="00ED3396" w:rsidRPr="00AE02C5" w:rsidRDefault="00ED3396">
      <w:pPr>
        <w:pStyle w:val="Standaard1"/>
        <w:ind w:left="1416"/>
        <w:jc w:val="both"/>
        <w:rPr>
          <w:sz w:val="22"/>
          <w:lang w:val="nl-BE"/>
        </w:rPr>
      </w:pPr>
    </w:p>
    <w:p w14:paraId="14A85E19" w14:textId="69FC8D70" w:rsidR="001F50ED" w:rsidRPr="00AE02C5" w:rsidRDefault="00C35DAD" w:rsidP="001F50ED">
      <w:pPr>
        <w:pStyle w:val="Standaard1"/>
        <w:ind w:left="1416"/>
        <w:jc w:val="both"/>
        <w:rPr>
          <w:sz w:val="22"/>
          <w:lang w:val="nl-BE"/>
        </w:rPr>
      </w:pPr>
      <w:r w:rsidRPr="00AE02C5">
        <w:rPr>
          <w:sz w:val="22"/>
          <w:lang w:val="nl-BE"/>
        </w:rPr>
        <w:t xml:space="preserve">De ervaring </w:t>
      </w:r>
      <w:r w:rsidR="00D242E0" w:rsidRPr="00AE02C5">
        <w:rPr>
          <w:sz w:val="22"/>
          <w:lang w:val="nl-BE"/>
        </w:rPr>
        <w:t>die</w:t>
      </w:r>
      <w:r w:rsidRPr="00AE02C5">
        <w:rPr>
          <w:sz w:val="22"/>
          <w:lang w:val="nl-BE"/>
        </w:rPr>
        <w:t xml:space="preserve"> België </w:t>
      </w:r>
      <w:r w:rsidR="005C2F59" w:rsidRPr="00AE02C5">
        <w:rPr>
          <w:sz w:val="22"/>
          <w:lang w:val="nl-BE"/>
        </w:rPr>
        <w:t>kan voorleggen</w:t>
      </w:r>
      <w:r w:rsidRPr="00AE02C5">
        <w:rPr>
          <w:sz w:val="22"/>
          <w:lang w:val="nl-BE"/>
        </w:rPr>
        <w:t>, toont aan dat de oprich</w:t>
      </w:r>
      <w:r w:rsidR="005C2F59" w:rsidRPr="00AE02C5">
        <w:rPr>
          <w:sz w:val="22"/>
          <w:lang w:val="nl-BE"/>
        </w:rPr>
        <w:t>ting van een Interministeriële</w:t>
      </w:r>
      <w:r w:rsidRPr="00AE02C5">
        <w:rPr>
          <w:sz w:val="22"/>
          <w:lang w:val="nl-BE"/>
        </w:rPr>
        <w:t xml:space="preserve"> Commissie een rationele en doeltreffende methode </w:t>
      </w:r>
      <w:r w:rsidR="005C2F59" w:rsidRPr="00AE02C5">
        <w:rPr>
          <w:sz w:val="22"/>
          <w:lang w:val="nl-BE"/>
        </w:rPr>
        <w:t>vormt</w:t>
      </w:r>
      <w:r w:rsidRPr="00AE02C5">
        <w:rPr>
          <w:sz w:val="22"/>
          <w:lang w:val="nl-BE"/>
        </w:rPr>
        <w:t xml:space="preserve"> om de </w:t>
      </w:r>
      <w:r w:rsidR="004B71F6" w:rsidRPr="00AE02C5">
        <w:rPr>
          <w:sz w:val="22"/>
          <w:lang w:val="nl-BE"/>
        </w:rPr>
        <w:t>uitvoering</w:t>
      </w:r>
      <w:r w:rsidRPr="00AE02C5">
        <w:rPr>
          <w:sz w:val="22"/>
          <w:lang w:val="nl-BE"/>
        </w:rPr>
        <w:t xml:space="preserve"> </w:t>
      </w:r>
      <w:r w:rsidR="005C2F59" w:rsidRPr="00AE02C5">
        <w:rPr>
          <w:sz w:val="22"/>
          <w:lang w:val="nl-BE"/>
        </w:rPr>
        <w:t xml:space="preserve">van het internationaal humanitair recht </w:t>
      </w:r>
      <w:r w:rsidRPr="00AE02C5">
        <w:rPr>
          <w:sz w:val="22"/>
          <w:lang w:val="nl-BE"/>
        </w:rPr>
        <w:t xml:space="preserve">op systematische en gecoördineerde wijze te </w:t>
      </w:r>
      <w:r w:rsidR="00510FB4" w:rsidRPr="00AE02C5">
        <w:rPr>
          <w:sz w:val="22"/>
          <w:lang w:val="nl-BE"/>
        </w:rPr>
        <w:t>waarborgen</w:t>
      </w:r>
      <w:r w:rsidR="001F50ED" w:rsidRPr="00AE02C5">
        <w:rPr>
          <w:sz w:val="22"/>
          <w:lang w:val="nl-BE"/>
        </w:rPr>
        <w:t>.</w:t>
      </w:r>
    </w:p>
    <w:p w14:paraId="5B0F5462" w14:textId="30D14717" w:rsidR="001F50ED" w:rsidRPr="00AE02C5" w:rsidRDefault="001F50ED" w:rsidP="00232390">
      <w:pPr>
        <w:pStyle w:val="Standaard1"/>
        <w:jc w:val="both"/>
        <w:rPr>
          <w:sz w:val="22"/>
          <w:lang w:val="nl-BE"/>
        </w:rPr>
      </w:pPr>
    </w:p>
    <w:p w14:paraId="6FAB6AB4" w14:textId="7560D83F" w:rsidR="001F50ED" w:rsidRPr="00AE02C5" w:rsidRDefault="005C2F59" w:rsidP="001F50ED">
      <w:pPr>
        <w:pStyle w:val="Standaard1"/>
        <w:ind w:left="1416"/>
        <w:jc w:val="both"/>
        <w:rPr>
          <w:sz w:val="22"/>
          <w:lang w:val="nl-BE"/>
        </w:rPr>
      </w:pPr>
      <w:r w:rsidRPr="00AE02C5">
        <w:rPr>
          <w:sz w:val="22"/>
          <w:lang w:val="nl-BE"/>
        </w:rPr>
        <w:t xml:space="preserve">De werking van de ICHR, waarover zij jaarlijks verslag uitbrengt bij de </w:t>
      </w:r>
      <w:r w:rsidR="00B7585A" w:rsidRPr="00AE02C5">
        <w:rPr>
          <w:sz w:val="22"/>
          <w:lang w:val="nl-BE"/>
        </w:rPr>
        <w:t>r</w:t>
      </w:r>
      <w:r w:rsidRPr="00AE02C5">
        <w:rPr>
          <w:sz w:val="22"/>
          <w:lang w:val="nl-BE"/>
        </w:rPr>
        <w:t xml:space="preserve">egering, heeft er overigens toe geleid dat ze door het Internationaal Comité van het Rode Kruis als </w:t>
      </w:r>
      <w:r w:rsidR="004B71F6" w:rsidRPr="00AE02C5">
        <w:rPr>
          <w:sz w:val="22"/>
          <w:lang w:val="nl-BE"/>
        </w:rPr>
        <w:t>voorbeeld wordt</w:t>
      </w:r>
      <w:r w:rsidRPr="00AE02C5">
        <w:rPr>
          <w:sz w:val="22"/>
          <w:lang w:val="nl-BE"/>
        </w:rPr>
        <w:t xml:space="preserve"> </w:t>
      </w:r>
      <w:r w:rsidR="00455AA4" w:rsidRPr="00AE02C5">
        <w:rPr>
          <w:sz w:val="22"/>
          <w:lang w:val="nl-BE"/>
        </w:rPr>
        <w:t>genoemd</w:t>
      </w:r>
      <w:r w:rsidRPr="00AE02C5">
        <w:rPr>
          <w:sz w:val="22"/>
          <w:lang w:val="nl-BE"/>
        </w:rPr>
        <w:t xml:space="preserve"> voor andere Staten</w:t>
      </w:r>
      <w:r w:rsidR="001F50ED" w:rsidRPr="00AE02C5">
        <w:rPr>
          <w:sz w:val="22"/>
          <w:lang w:val="nl-BE"/>
        </w:rPr>
        <w:t>.</w:t>
      </w:r>
    </w:p>
    <w:p w14:paraId="1A951179" w14:textId="77777777" w:rsidR="001F50ED" w:rsidRPr="00AE02C5" w:rsidRDefault="001F50ED">
      <w:pPr>
        <w:pStyle w:val="Standaard1"/>
        <w:ind w:left="1416"/>
        <w:jc w:val="both"/>
        <w:rPr>
          <w:sz w:val="22"/>
          <w:lang w:val="nl-BE"/>
        </w:rPr>
      </w:pPr>
    </w:p>
    <w:p w14:paraId="0C4812E5" w14:textId="32439B91" w:rsidR="00ED3396" w:rsidRPr="00AE02C5" w:rsidRDefault="00ED3396">
      <w:pPr>
        <w:pStyle w:val="Standaard1"/>
        <w:ind w:left="1416" w:hanging="708"/>
        <w:jc w:val="both"/>
        <w:rPr>
          <w:sz w:val="22"/>
          <w:lang w:val="nl-BE"/>
        </w:rPr>
      </w:pPr>
      <w:r w:rsidRPr="00AE02C5">
        <w:rPr>
          <w:sz w:val="22"/>
          <w:lang w:val="nl-BE"/>
        </w:rPr>
        <w:t>C.</w:t>
      </w:r>
      <w:r w:rsidRPr="00AE02C5">
        <w:rPr>
          <w:sz w:val="22"/>
          <w:lang w:val="nl-BE"/>
        </w:rPr>
        <w:tab/>
      </w:r>
      <w:r w:rsidR="00510FB4" w:rsidRPr="00AE02C5">
        <w:rPr>
          <w:sz w:val="22"/>
          <w:lang w:val="nl-BE"/>
        </w:rPr>
        <w:t>U</w:t>
      </w:r>
      <w:r w:rsidR="005C2F59" w:rsidRPr="00AE02C5">
        <w:rPr>
          <w:sz w:val="22"/>
          <w:lang w:val="nl-BE"/>
        </w:rPr>
        <w:t xml:space="preserve">itvoering van artikel </w:t>
      </w:r>
      <w:r w:rsidRPr="00AE02C5">
        <w:rPr>
          <w:sz w:val="22"/>
          <w:lang w:val="nl-BE"/>
        </w:rPr>
        <w:t>84</w:t>
      </w:r>
      <w:r w:rsidR="005C2F59" w:rsidRPr="00AE02C5">
        <w:rPr>
          <w:sz w:val="22"/>
          <w:lang w:val="nl-BE"/>
        </w:rPr>
        <w:t xml:space="preserve"> van het </w:t>
      </w:r>
      <w:r w:rsidR="00176505" w:rsidRPr="00AE02C5">
        <w:rPr>
          <w:sz w:val="22"/>
          <w:lang w:val="nl-BE"/>
        </w:rPr>
        <w:t xml:space="preserve">eerste </w:t>
      </w:r>
      <w:r w:rsidR="005C2F59" w:rsidRPr="00AE02C5">
        <w:rPr>
          <w:sz w:val="22"/>
          <w:lang w:val="nl-BE"/>
        </w:rPr>
        <w:t xml:space="preserve">Aanvullend Protocol </w:t>
      </w:r>
      <w:r w:rsidRPr="00AE02C5">
        <w:rPr>
          <w:sz w:val="22"/>
          <w:lang w:val="nl-BE"/>
        </w:rPr>
        <w:t>(</w:t>
      </w:r>
      <w:r w:rsidR="005C2F59" w:rsidRPr="00AE02C5">
        <w:rPr>
          <w:sz w:val="22"/>
          <w:lang w:val="nl-BE"/>
        </w:rPr>
        <w:t xml:space="preserve">alsook, voor de </w:t>
      </w:r>
      <w:r w:rsidR="004B71F6" w:rsidRPr="00AE02C5">
        <w:rPr>
          <w:sz w:val="22"/>
          <w:lang w:val="nl-BE"/>
        </w:rPr>
        <w:t>Verdragen</w:t>
      </w:r>
      <w:r w:rsidR="005C2F59" w:rsidRPr="00AE02C5">
        <w:rPr>
          <w:sz w:val="22"/>
          <w:lang w:val="nl-BE"/>
        </w:rPr>
        <w:t xml:space="preserve"> van </w:t>
      </w:r>
      <w:r w:rsidRPr="00AE02C5">
        <w:rPr>
          <w:sz w:val="22"/>
          <w:lang w:val="nl-BE"/>
        </w:rPr>
        <w:t xml:space="preserve">Genève, </w:t>
      </w:r>
      <w:r w:rsidR="005C2F59" w:rsidRPr="00AE02C5">
        <w:rPr>
          <w:sz w:val="22"/>
          <w:lang w:val="nl-BE"/>
        </w:rPr>
        <w:t xml:space="preserve">de artikelen </w:t>
      </w:r>
      <w:r w:rsidRPr="00AE02C5">
        <w:rPr>
          <w:sz w:val="22"/>
          <w:lang w:val="nl-BE"/>
        </w:rPr>
        <w:t xml:space="preserve">C I </w:t>
      </w:r>
      <w:r w:rsidR="005C2F59" w:rsidRPr="00AE02C5">
        <w:rPr>
          <w:sz w:val="22"/>
          <w:lang w:val="nl-BE"/>
        </w:rPr>
        <w:t>–</w:t>
      </w:r>
      <w:r w:rsidRPr="00AE02C5">
        <w:rPr>
          <w:sz w:val="22"/>
          <w:lang w:val="nl-BE"/>
        </w:rPr>
        <w:t xml:space="preserve"> arti</w:t>
      </w:r>
      <w:r w:rsidR="005C2F59" w:rsidRPr="00AE02C5">
        <w:rPr>
          <w:sz w:val="22"/>
          <w:lang w:val="nl-BE"/>
        </w:rPr>
        <w:t xml:space="preserve">kel </w:t>
      </w:r>
      <w:r w:rsidRPr="00AE02C5">
        <w:rPr>
          <w:sz w:val="22"/>
          <w:lang w:val="nl-BE"/>
        </w:rPr>
        <w:t xml:space="preserve">48; C II </w:t>
      </w:r>
      <w:r w:rsidR="005C2F59" w:rsidRPr="00AE02C5">
        <w:rPr>
          <w:sz w:val="22"/>
          <w:lang w:val="nl-BE"/>
        </w:rPr>
        <w:t>–</w:t>
      </w:r>
      <w:r w:rsidRPr="00AE02C5">
        <w:rPr>
          <w:sz w:val="22"/>
          <w:lang w:val="nl-BE"/>
        </w:rPr>
        <w:t xml:space="preserve"> arti</w:t>
      </w:r>
      <w:r w:rsidR="005C2F59" w:rsidRPr="00AE02C5">
        <w:rPr>
          <w:sz w:val="22"/>
          <w:lang w:val="nl-BE"/>
        </w:rPr>
        <w:t xml:space="preserve">kel </w:t>
      </w:r>
      <w:r w:rsidRPr="00AE02C5">
        <w:rPr>
          <w:sz w:val="22"/>
          <w:lang w:val="nl-BE"/>
        </w:rPr>
        <w:t xml:space="preserve">49; C III </w:t>
      </w:r>
      <w:r w:rsidR="004B71F6" w:rsidRPr="00AE02C5">
        <w:rPr>
          <w:sz w:val="22"/>
          <w:lang w:val="nl-BE"/>
        </w:rPr>
        <w:t>–</w:t>
      </w:r>
      <w:r w:rsidRPr="00AE02C5">
        <w:rPr>
          <w:sz w:val="22"/>
          <w:lang w:val="nl-BE"/>
        </w:rPr>
        <w:t xml:space="preserve"> arti</w:t>
      </w:r>
      <w:r w:rsidR="005C2F59" w:rsidRPr="00AE02C5">
        <w:rPr>
          <w:sz w:val="22"/>
          <w:lang w:val="nl-BE"/>
        </w:rPr>
        <w:t>kel</w:t>
      </w:r>
      <w:r w:rsidRPr="00AE02C5">
        <w:rPr>
          <w:sz w:val="22"/>
          <w:lang w:val="nl-BE"/>
        </w:rPr>
        <w:t xml:space="preserve"> 128; C IV</w:t>
      </w:r>
      <w:r w:rsidR="004B71F6" w:rsidRPr="00AE02C5">
        <w:rPr>
          <w:sz w:val="22"/>
          <w:lang w:val="nl-BE"/>
        </w:rPr>
        <w:t xml:space="preserve"> –</w:t>
      </w:r>
      <w:r w:rsidRPr="00AE02C5">
        <w:rPr>
          <w:sz w:val="22"/>
          <w:lang w:val="nl-BE"/>
        </w:rPr>
        <w:t xml:space="preserve"> arti</w:t>
      </w:r>
      <w:r w:rsidR="005C2F59" w:rsidRPr="00AE02C5">
        <w:rPr>
          <w:sz w:val="22"/>
          <w:lang w:val="nl-BE"/>
        </w:rPr>
        <w:t>kel</w:t>
      </w:r>
      <w:r w:rsidRPr="00AE02C5">
        <w:rPr>
          <w:sz w:val="22"/>
          <w:lang w:val="nl-BE"/>
        </w:rPr>
        <w:t xml:space="preserve"> 145)</w:t>
      </w:r>
    </w:p>
    <w:p w14:paraId="4409A0CD" w14:textId="77777777" w:rsidR="00ED3396" w:rsidRPr="00AE02C5" w:rsidRDefault="00ED3396">
      <w:pPr>
        <w:pStyle w:val="Standaard1"/>
        <w:ind w:left="708" w:hanging="708"/>
        <w:jc w:val="both"/>
        <w:rPr>
          <w:sz w:val="22"/>
          <w:lang w:val="nl-BE"/>
        </w:rPr>
      </w:pPr>
    </w:p>
    <w:p w14:paraId="406AA87F" w14:textId="0724B010" w:rsidR="00ED3396" w:rsidRPr="00AE02C5" w:rsidRDefault="00C5216E">
      <w:pPr>
        <w:pStyle w:val="Standaard1"/>
        <w:ind w:left="1416"/>
        <w:jc w:val="both"/>
        <w:rPr>
          <w:sz w:val="22"/>
          <w:lang w:val="nl-BE"/>
        </w:rPr>
      </w:pPr>
      <w:r w:rsidRPr="00AE02C5">
        <w:rPr>
          <w:sz w:val="22"/>
          <w:lang w:val="nl-BE"/>
        </w:rPr>
        <w:t>Er dient te worden nagegaan of werd voldaan aan deze bepalingen wat de volgende punten betreft</w:t>
      </w:r>
      <w:r w:rsidR="00ED3396" w:rsidRPr="00AE02C5">
        <w:rPr>
          <w:sz w:val="22"/>
          <w:lang w:val="nl-BE"/>
        </w:rPr>
        <w:t>:</w:t>
      </w:r>
    </w:p>
    <w:p w14:paraId="56CEE9AD" w14:textId="77777777" w:rsidR="00ED3396" w:rsidRPr="00AE02C5" w:rsidRDefault="00ED3396">
      <w:pPr>
        <w:pStyle w:val="Standaard1"/>
        <w:ind w:left="708" w:hanging="708"/>
        <w:jc w:val="both"/>
        <w:rPr>
          <w:sz w:val="22"/>
          <w:lang w:val="nl-BE"/>
        </w:rPr>
      </w:pPr>
    </w:p>
    <w:p w14:paraId="5AE76E02" w14:textId="39414A21" w:rsidR="00ED3396" w:rsidRPr="00AE02C5" w:rsidRDefault="00C5216E">
      <w:pPr>
        <w:pStyle w:val="Standaard1"/>
        <w:numPr>
          <w:ilvl w:val="0"/>
          <w:numId w:val="1"/>
        </w:numPr>
        <w:ind w:left="2124"/>
        <w:jc w:val="both"/>
        <w:rPr>
          <w:sz w:val="22"/>
          <w:lang w:val="nl-BE"/>
        </w:rPr>
      </w:pPr>
      <w:r w:rsidRPr="00AE02C5">
        <w:rPr>
          <w:sz w:val="22"/>
          <w:lang w:val="nl-BE"/>
        </w:rPr>
        <w:t>mededeling van de officiële Nederlands</w:t>
      </w:r>
      <w:r w:rsidR="00510FB4" w:rsidRPr="00AE02C5">
        <w:rPr>
          <w:sz w:val="22"/>
          <w:lang w:val="nl-BE"/>
        </w:rPr>
        <w:t>e vertaling</w:t>
      </w:r>
      <w:r w:rsidRPr="00AE02C5">
        <w:rPr>
          <w:sz w:val="22"/>
          <w:lang w:val="nl-BE"/>
        </w:rPr>
        <w:t xml:space="preserve"> van de Aanvullende Protocollen (en, zo nodig, van de </w:t>
      </w:r>
      <w:r w:rsidR="004B71F6" w:rsidRPr="00AE02C5">
        <w:rPr>
          <w:sz w:val="22"/>
          <w:lang w:val="nl-BE"/>
        </w:rPr>
        <w:t>Verdragen</w:t>
      </w:r>
      <w:r w:rsidRPr="00AE02C5">
        <w:rPr>
          <w:sz w:val="22"/>
          <w:lang w:val="nl-BE"/>
        </w:rPr>
        <w:t xml:space="preserve"> van Genève)</w:t>
      </w:r>
      <w:r w:rsidR="00ED3396" w:rsidRPr="00AE02C5">
        <w:rPr>
          <w:sz w:val="22"/>
          <w:lang w:val="nl-BE"/>
        </w:rPr>
        <w:t xml:space="preserve">; </w:t>
      </w:r>
    </w:p>
    <w:p w14:paraId="7B742C99" w14:textId="77777777" w:rsidR="00ED3396" w:rsidRPr="00AE02C5" w:rsidRDefault="00ED3396">
      <w:pPr>
        <w:pStyle w:val="Standaard1"/>
        <w:ind w:left="1416"/>
        <w:jc w:val="both"/>
        <w:rPr>
          <w:sz w:val="22"/>
          <w:lang w:val="nl-BE"/>
        </w:rPr>
      </w:pPr>
    </w:p>
    <w:p w14:paraId="32DFDCAC" w14:textId="7DE4A8E1" w:rsidR="00ED3396" w:rsidRPr="00AE02C5" w:rsidRDefault="00C5216E">
      <w:pPr>
        <w:pStyle w:val="Standaard1"/>
        <w:numPr>
          <w:ilvl w:val="0"/>
          <w:numId w:val="1"/>
        </w:numPr>
        <w:ind w:left="2124"/>
        <w:jc w:val="both"/>
        <w:rPr>
          <w:sz w:val="22"/>
          <w:lang w:val="nl-BE"/>
        </w:rPr>
      </w:pPr>
      <w:r w:rsidRPr="00AE02C5">
        <w:rPr>
          <w:sz w:val="22"/>
          <w:lang w:val="nl-BE"/>
        </w:rPr>
        <w:lastRenderedPageBreak/>
        <w:t xml:space="preserve">mededeling van de wetten en reglementen die zijn goedgekeurd om de toepassing van de Protocollen (en, zo nodig, van de </w:t>
      </w:r>
      <w:r w:rsidR="004B71F6" w:rsidRPr="00AE02C5">
        <w:rPr>
          <w:sz w:val="22"/>
          <w:lang w:val="nl-BE"/>
        </w:rPr>
        <w:t>Verdragen van Genève</w:t>
      </w:r>
      <w:r w:rsidRPr="00AE02C5">
        <w:rPr>
          <w:sz w:val="22"/>
          <w:lang w:val="nl-BE"/>
        </w:rPr>
        <w:t xml:space="preserve">) te </w:t>
      </w:r>
      <w:r w:rsidR="00510FB4" w:rsidRPr="00AE02C5">
        <w:rPr>
          <w:sz w:val="22"/>
          <w:lang w:val="nl-BE"/>
        </w:rPr>
        <w:t>waarborgen</w:t>
      </w:r>
      <w:r w:rsidR="00ED3396" w:rsidRPr="00AE02C5">
        <w:rPr>
          <w:sz w:val="22"/>
          <w:lang w:val="nl-BE"/>
        </w:rPr>
        <w:t>.</w:t>
      </w:r>
    </w:p>
    <w:p w14:paraId="51218C53" w14:textId="77777777" w:rsidR="00ED3396" w:rsidRPr="00AE02C5" w:rsidRDefault="00ED3396">
      <w:pPr>
        <w:pStyle w:val="Standaard1"/>
        <w:ind w:left="708" w:hanging="708"/>
        <w:jc w:val="both"/>
        <w:rPr>
          <w:sz w:val="22"/>
          <w:lang w:val="nl-BE"/>
        </w:rPr>
      </w:pPr>
    </w:p>
    <w:p w14:paraId="0F111DD4" w14:textId="61A8AA48" w:rsidR="00ED3396" w:rsidRPr="00AE02C5" w:rsidRDefault="00C5216E">
      <w:pPr>
        <w:pStyle w:val="Standaard1"/>
        <w:ind w:left="1416"/>
        <w:jc w:val="both"/>
        <w:rPr>
          <w:sz w:val="22"/>
          <w:lang w:val="nl-BE"/>
        </w:rPr>
      </w:pPr>
      <w:r w:rsidRPr="00AE02C5">
        <w:rPr>
          <w:sz w:val="22"/>
          <w:lang w:val="nl-BE"/>
        </w:rPr>
        <w:t xml:space="preserve">Aangezien </w:t>
      </w:r>
      <w:r w:rsidR="004B71F6" w:rsidRPr="00AE02C5">
        <w:rPr>
          <w:sz w:val="22"/>
          <w:lang w:val="nl-BE"/>
        </w:rPr>
        <w:t>deze</w:t>
      </w:r>
      <w:r w:rsidRPr="00AE02C5">
        <w:rPr>
          <w:sz w:val="22"/>
          <w:lang w:val="nl-BE"/>
        </w:rPr>
        <w:t xml:space="preserve"> mededelingen gewoonlijk langs diplomatieke weg gebeuren, moet de Federale Overheidsdienst Buitenlandse Zaken kunnen nagaan of </w:t>
      </w:r>
      <w:r w:rsidR="004B71F6" w:rsidRPr="00AE02C5">
        <w:rPr>
          <w:sz w:val="22"/>
          <w:lang w:val="nl-BE"/>
        </w:rPr>
        <w:t>ze</w:t>
      </w:r>
      <w:r w:rsidRPr="00AE02C5">
        <w:rPr>
          <w:sz w:val="22"/>
          <w:lang w:val="nl-BE"/>
        </w:rPr>
        <w:t xml:space="preserve"> werden gedaan (bijvoorbeeld wat betreft de wet van 5 augustus 2003 betreffende ernstige schendingen van het internationaal humanitair recht</w:t>
      </w:r>
      <w:r w:rsidR="00ED3396" w:rsidRPr="00AE02C5">
        <w:rPr>
          <w:sz w:val="22"/>
          <w:lang w:val="nl-BE"/>
        </w:rPr>
        <w:t>).</w:t>
      </w:r>
    </w:p>
    <w:p w14:paraId="580D4375" w14:textId="77777777" w:rsidR="005531EA" w:rsidRPr="00AE02C5" w:rsidRDefault="005531EA" w:rsidP="00232390">
      <w:pPr>
        <w:pStyle w:val="Standaard1"/>
        <w:jc w:val="both"/>
        <w:rPr>
          <w:sz w:val="22"/>
          <w:lang w:val="nl-BE"/>
        </w:rPr>
      </w:pPr>
    </w:p>
    <w:p w14:paraId="0FE1D1D9" w14:textId="410E26FD" w:rsidR="00ED3396" w:rsidRPr="00AE02C5" w:rsidRDefault="00510FB4">
      <w:pPr>
        <w:pStyle w:val="Standaard1"/>
        <w:ind w:left="1416"/>
        <w:jc w:val="both"/>
        <w:rPr>
          <w:sz w:val="22"/>
          <w:lang w:val="nl-BE"/>
        </w:rPr>
      </w:pPr>
      <w:r w:rsidRPr="00AE02C5">
        <w:rPr>
          <w:sz w:val="22"/>
          <w:lang w:val="nl-BE"/>
        </w:rPr>
        <w:t xml:space="preserve">Deze </w:t>
      </w:r>
      <w:r w:rsidR="00A53327" w:rsidRPr="00AE02C5">
        <w:rPr>
          <w:sz w:val="22"/>
          <w:lang w:val="nl-BE"/>
        </w:rPr>
        <w:t xml:space="preserve">mededelingen </w:t>
      </w:r>
      <w:r w:rsidR="004B71F6" w:rsidRPr="00AE02C5">
        <w:rPr>
          <w:sz w:val="22"/>
          <w:lang w:val="nl-BE"/>
        </w:rPr>
        <w:t>moeten</w:t>
      </w:r>
      <w:r w:rsidR="00A53327" w:rsidRPr="00AE02C5">
        <w:rPr>
          <w:sz w:val="22"/>
          <w:lang w:val="nl-BE"/>
        </w:rPr>
        <w:t xml:space="preserve"> ook worden gedaan zodra de officiële teksten van deze verdragen, wetten en reglementen in het Duits bestaan</w:t>
      </w:r>
      <w:r w:rsidR="00ED3396" w:rsidRPr="00AE02C5">
        <w:rPr>
          <w:sz w:val="22"/>
          <w:lang w:val="nl-BE"/>
        </w:rPr>
        <w:t>.</w:t>
      </w:r>
    </w:p>
    <w:p w14:paraId="32D1BE30" w14:textId="77777777" w:rsidR="00C91C72" w:rsidRPr="00AE02C5" w:rsidRDefault="00C91C72">
      <w:pPr>
        <w:pStyle w:val="Standaard1"/>
        <w:ind w:left="1416"/>
        <w:jc w:val="both"/>
        <w:rPr>
          <w:sz w:val="22"/>
          <w:lang w:val="nl-BE"/>
        </w:rPr>
      </w:pPr>
    </w:p>
    <w:p w14:paraId="6F110511" w14:textId="111E6F6B" w:rsidR="00C91C72" w:rsidRPr="00AE02C5" w:rsidRDefault="002D5B00">
      <w:pPr>
        <w:pStyle w:val="Standaard1"/>
        <w:ind w:left="1416"/>
        <w:jc w:val="both"/>
        <w:rPr>
          <w:sz w:val="22"/>
          <w:lang w:val="nl-BE"/>
        </w:rPr>
      </w:pPr>
      <w:r w:rsidRPr="00AE02C5">
        <w:rPr>
          <w:sz w:val="22"/>
          <w:lang w:val="nl-BE"/>
        </w:rPr>
        <w:t>Er bestaan</w:t>
      </w:r>
      <w:r w:rsidR="00A53327" w:rsidRPr="00AE02C5">
        <w:rPr>
          <w:sz w:val="22"/>
          <w:lang w:val="nl-BE"/>
        </w:rPr>
        <w:t xml:space="preserve"> Nederlandse versies van de </w:t>
      </w:r>
      <w:r w:rsidR="00BB5922" w:rsidRPr="00AE02C5">
        <w:rPr>
          <w:sz w:val="22"/>
          <w:lang w:val="nl-BE"/>
        </w:rPr>
        <w:t>Verdragen</w:t>
      </w:r>
      <w:r w:rsidR="00A53327" w:rsidRPr="00AE02C5">
        <w:rPr>
          <w:sz w:val="22"/>
          <w:lang w:val="nl-BE"/>
        </w:rPr>
        <w:t xml:space="preserve"> en Protocollen</w:t>
      </w:r>
      <w:r w:rsidR="00C91C72" w:rsidRPr="00AE02C5">
        <w:rPr>
          <w:sz w:val="22"/>
          <w:lang w:val="nl-BE"/>
        </w:rPr>
        <w:t>.</w:t>
      </w:r>
      <w:r w:rsidR="00A53327" w:rsidRPr="00AE02C5">
        <w:rPr>
          <w:sz w:val="22"/>
          <w:lang w:val="nl-BE"/>
        </w:rPr>
        <w:t xml:space="preserve"> </w:t>
      </w:r>
      <w:r w:rsidRPr="00AE02C5">
        <w:rPr>
          <w:sz w:val="22"/>
          <w:lang w:val="nl-BE"/>
        </w:rPr>
        <w:t>Men</w:t>
      </w:r>
      <w:r w:rsidR="00A53327" w:rsidRPr="00AE02C5">
        <w:rPr>
          <w:sz w:val="22"/>
          <w:lang w:val="nl-BE"/>
        </w:rPr>
        <w:t xml:space="preserve"> dient na</w:t>
      </w:r>
      <w:r w:rsidRPr="00AE02C5">
        <w:rPr>
          <w:sz w:val="22"/>
          <w:lang w:val="nl-BE"/>
        </w:rPr>
        <w:t xml:space="preserve"> te </w:t>
      </w:r>
      <w:r w:rsidR="00A53327" w:rsidRPr="00AE02C5">
        <w:rPr>
          <w:sz w:val="22"/>
          <w:lang w:val="nl-BE"/>
        </w:rPr>
        <w:t xml:space="preserve">gaan of ze wel degelijk aan de </w:t>
      </w:r>
      <w:r w:rsidR="00BB5922" w:rsidRPr="00AE02C5">
        <w:rPr>
          <w:sz w:val="22"/>
          <w:lang w:val="nl-BE"/>
        </w:rPr>
        <w:t>depositaris werden meegedeeld</w:t>
      </w:r>
      <w:r w:rsidR="00C91C72" w:rsidRPr="00AE02C5">
        <w:rPr>
          <w:sz w:val="22"/>
          <w:lang w:val="nl-BE"/>
        </w:rPr>
        <w:t>.</w:t>
      </w:r>
    </w:p>
    <w:p w14:paraId="653C2C59" w14:textId="77777777" w:rsidR="00ED3396" w:rsidRPr="00AE02C5" w:rsidRDefault="00ED3396">
      <w:pPr>
        <w:pStyle w:val="Standaard1"/>
        <w:ind w:left="1416"/>
        <w:jc w:val="both"/>
        <w:rPr>
          <w:sz w:val="22"/>
          <w:lang w:val="nl-BE"/>
        </w:rPr>
      </w:pPr>
    </w:p>
    <w:p w14:paraId="7344B9EA" w14:textId="7CF98AE9" w:rsidR="00A53327" w:rsidRPr="00AE02C5" w:rsidRDefault="00A53327">
      <w:pPr>
        <w:pStyle w:val="Standaard1"/>
        <w:ind w:left="1416"/>
        <w:jc w:val="both"/>
        <w:rPr>
          <w:sz w:val="22"/>
          <w:lang w:val="nl-BE"/>
        </w:rPr>
      </w:pPr>
      <w:r w:rsidRPr="00AE02C5">
        <w:rPr>
          <w:sz w:val="22"/>
          <w:lang w:val="nl-BE"/>
        </w:rPr>
        <w:t xml:space="preserve">In een aanverwant domein </w:t>
      </w:r>
      <w:r w:rsidR="00510FB4" w:rsidRPr="00AE02C5">
        <w:rPr>
          <w:sz w:val="22"/>
          <w:lang w:val="nl-BE"/>
        </w:rPr>
        <w:t>heeft</w:t>
      </w:r>
      <w:r w:rsidRPr="00AE02C5">
        <w:rPr>
          <w:sz w:val="22"/>
          <w:lang w:val="nl-BE"/>
        </w:rPr>
        <w:t xml:space="preserve"> de ICHR </w:t>
      </w:r>
      <w:r w:rsidR="00510FB4" w:rsidRPr="00AE02C5">
        <w:rPr>
          <w:sz w:val="22"/>
          <w:lang w:val="nl-BE"/>
        </w:rPr>
        <w:t>tijdens</w:t>
      </w:r>
      <w:r w:rsidRPr="00AE02C5">
        <w:rPr>
          <w:sz w:val="22"/>
          <w:lang w:val="nl-BE"/>
        </w:rPr>
        <w:t xml:space="preserve"> haar vergadering van 15 november 1995 (zie notulen nr. 65) beslist </w:t>
      </w:r>
      <w:r w:rsidR="00BB5922" w:rsidRPr="00AE02C5">
        <w:rPr>
          <w:sz w:val="22"/>
          <w:lang w:val="nl-BE"/>
        </w:rPr>
        <w:t>om</w:t>
      </w:r>
      <w:r w:rsidRPr="00AE02C5">
        <w:rPr>
          <w:sz w:val="22"/>
          <w:lang w:val="nl-BE"/>
        </w:rPr>
        <w:t xml:space="preserve"> alle documenten van de ICHR en in verband met de ICHR voortaan systematisch aan het ICRK </w:t>
      </w:r>
      <w:r w:rsidR="00BB5922" w:rsidRPr="00AE02C5">
        <w:rPr>
          <w:sz w:val="22"/>
          <w:lang w:val="nl-BE"/>
        </w:rPr>
        <w:t>te</w:t>
      </w:r>
      <w:r w:rsidRPr="00AE02C5">
        <w:rPr>
          <w:sz w:val="22"/>
          <w:lang w:val="nl-BE"/>
        </w:rPr>
        <w:t xml:space="preserve"> bezorg</w:t>
      </w:r>
      <w:r w:rsidR="00BB5922" w:rsidRPr="00AE02C5">
        <w:rPr>
          <w:sz w:val="22"/>
          <w:lang w:val="nl-BE"/>
        </w:rPr>
        <w:t>en</w:t>
      </w:r>
      <w:r w:rsidRPr="00AE02C5">
        <w:rPr>
          <w:sz w:val="22"/>
          <w:lang w:val="nl-BE"/>
        </w:rPr>
        <w:t xml:space="preserve">. </w:t>
      </w:r>
    </w:p>
    <w:p w14:paraId="4F3C463A" w14:textId="732514F8" w:rsidR="00D4190C" w:rsidRPr="00AE02C5" w:rsidRDefault="00A53327">
      <w:pPr>
        <w:pStyle w:val="Standaard1"/>
        <w:ind w:left="1416"/>
        <w:jc w:val="both"/>
        <w:rPr>
          <w:sz w:val="22"/>
          <w:lang w:val="nl-BE"/>
        </w:rPr>
      </w:pPr>
      <w:r w:rsidRPr="00AE02C5">
        <w:rPr>
          <w:sz w:val="22"/>
          <w:lang w:val="nl-BE"/>
        </w:rPr>
        <w:t>Deze beslissing ligt helemaal in de lijn van de oprichting door het ICR</w:t>
      </w:r>
      <w:r w:rsidR="00D4190C" w:rsidRPr="00AE02C5">
        <w:rPr>
          <w:sz w:val="22"/>
          <w:lang w:val="nl-BE"/>
        </w:rPr>
        <w:t xml:space="preserve">K van Consultatieve Diensten </w:t>
      </w:r>
      <w:r w:rsidR="00B61123" w:rsidRPr="00AE02C5">
        <w:rPr>
          <w:sz w:val="22"/>
          <w:lang w:val="nl-BE"/>
        </w:rPr>
        <w:t>in</w:t>
      </w:r>
      <w:r w:rsidRPr="00AE02C5">
        <w:rPr>
          <w:sz w:val="22"/>
          <w:lang w:val="nl-BE"/>
        </w:rPr>
        <w:t xml:space="preserve"> </w:t>
      </w:r>
      <w:r w:rsidR="00BB5922" w:rsidRPr="00AE02C5">
        <w:rPr>
          <w:sz w:val="22"/>
          <w:lang w:val="nl-BE"/>
        </w:rPr>
        <w:t>i</w:t>
      </w:r>
      <w:r w:rsidRPr="00AE02C5">
        <w:rPr>
          <w:sz w:val="22"/>
          <w:lang w:val="nl-BE"/>
        </w:rPr>
        <w:t xml:space="preserve">nternationaal humanitair recht met als opdracht de Staten te helpen bij het bestuderen van de nationale </w:t>
      </w:r>
      <w:r w:rsidR="00BB5922" w:rsidRPr="00AE02C5">
        <w:rPr>
          <w:sz w:val="22"/>
          <w:lang w:val="nl-BE"/>
        </w:rPr>
        <w:t>uitvoering</w:t>
      </w:r>
      <w:r w:rsidR="00510FB4" w:rsidRPr="00AE02C5">
        <w:rPr>
          <w:sz w:val="22"/>
          <w:lang w:val="nl-BE"/>
        </w:rPr>
        <w:t>smaatregelen</w:t>
      </w:r>
      <w:r w:rsidRPr="00AE02C5">
        <w:rPr>
          <w:sz w:val="22"/>
          <w:lang w:val="nl-BE"/>
        </w:rPr>
        <w:t xml:space="preserve"> van het internationaal humanitair recht</w:t>
      </w:r>
      <w:r w:rsidR="009C3BB7" w:rsidRPr="00AE02C5">
        <w:rPr>
          <w:sz w:val="22"/>
          <w:lang w:val="nl-BE"/>
        </w:rPr>
        <w:t>,</w:t>
      </w:r>
      <w:r w:rsidRPr="00AE02C5">
        <w:rPr>
          <w:sz w:val="22"/>
          <w:lang w:val="nl-BE"/>
        </w:rPr>
        <w:t xml:space="preserve"> en</w:t>
      </w:r>
      <w:r w:rsidR="009C3BB7" w:rsidRPr="00AE02C5">
        <w:rPr>
          <w:sz w:val="22"/>
          <w:lang w:val="nl-BE"/>
        </w:rPr>
        <w:t xml:space="preserve"> sluit meer bepaald aan bij de</w:t>
      </w:r>
      <w:r w:rsidRPr="00AE02C5">
        <w:rPr>
          <w:sz w:val="22"/>
          <w:lang w:val="nl-BE"/>
        </w:rPr>
        <w:t xml:space="preserve"> </w:t>
      </w:r>
      <w:r w:rsidR="00510FB4" w:rsidRPr="00AE02C5">
        <w:rPr>
          <w:sz w:val="22"/>
          <w:lang w:val="nl-BE"/>
        </w:rPr>
        <w:t>oprichting</w:t>
      </w:r>
      <w:r w:rsidR="00D4190C" w:rsidRPr="00AE02C5">
        <w:rPr>
          <w:sz w:val="22"/>
          <w:lang w:val="nl-BE"/>
        </w:rPr>
        <w:t xml:space="preserve">, door deze Consultatieve Diensten, </w:t>
      </w:r>
      <w:r w:rsidRPr="00AE02C5">
        <w:rPr>
          <w:sz w:val="22"/>
          <w:lang w:val="nl-BE"/>
        </w:rPr>
        <w:t>van een gegevensbank over de nationale</w:t>
      </w:r>
      <w:r w:rsidR="00D4190C" w:rsidRPr="00AE02C5">
        <w:rPr>
          <w:sz w:val="22"/>
          <w:lang w:val="nl-BE"/>
        </w:rPr>
        <w:t xml:space="preserve"> uitvoerings</w:t>
      </w:r>
      <w:r w:rsidRPr="00AE02C5">
        <w:rPr>
          <w:sz w:val="22"/>
          <w:lang w:val="nl-BE"/>
        </w:rPr>
        <w:t xml:space="preserve">maatregelen. </w:t>
      </w:r>
    </w:p>
    <w:p w14:paraId="7770C913" w14:textId="575F5EBC" w:rsidR="00D4190C" w:rsidRPr="00AE02C5" w:rsidRDefault="00D4190C">
      <w:pPr>
        <w:pStyle w:val="Standaard1"/>
        <w:ind w:left="1416"/>
        <w:jc w:val="both"/>
        <w:rPr>
          <w:sz w:val="22"/>
          <w:lang w:val="nl-BE"/>
        </w:rPr>
      </w:pPr>
      <w:r w:rsidRPr="00AE02C5">
        <w:rPr>
          <w:sz w:val="22"/>
          <w:lang w:val="nl-BE"/>
        </w:rPr>
        <w:t xml:space="preserve">In </w:t>
      </w:r>
      <w:r w:rsidR="00BB5922" w:rsidRPr="00AE02C5">
        <w:rPr>
          <w:sz w:val="22"/>
          <w:lang w:val="nl-BE"/>
        </w:rPr>
        <w:t>d</w:t>
      </w:r>
      <w:r w:rsidR="00510FB4" w:rsidRPr="00AE02C5">
        <w:rPr>
          <w:sz w:val="22"/>
          <w:lang w:val="nl-BE"/>
        </w:rPr>
        <w:t>i</w:t>
      </w:r>
      <w:r w:rsidR="00BB5922" w:rsidRPr="00AE02C5">
        <w:rPr>
          <w:sz w:val="22"/>
          <w:lang w:val="nl-BE"/>
        </w:rPr>
        <w:t xml:space="preserve">t </w:t>
      </w:r>
      <w:r w:rsidRPr="00AE02C5">
        <w:rPr>
          <w:sz w:val="22"/>
          <w:lang w:val="nl-BE"/>
        </w:rPr>
        <w:t xml:space="preserve">verband kan worden verwezen naar artikel 3, § 2, van het koninklijk besluit van 6 december 2000, </w:t>
      </w:r>
      <w:r w:rsidR="00510FB4" w:rsidRPr="00AE02C5">
        <w:rPr>
          <w:sz w:val="22"/>
          <w:lang w:val="nl-BE"/>
        </w:rPr>
        <w:t xml:space="preserve">volgens hetwelk </w:t>
      </w:r>
      <w:r w:rsidRPr="00AE02C5">
        <w:rPr>
          <w:sz w:val="22"/>
          <w:lang w:val="nl-BE"/>
        </w:rPr>
        <w:t xml:space="preserve">de ICHR documenten die </w:t>
      </w:r>
      <w:r w:rsidR="0086308F" w:rsidRPr="00AE02C5">
        <w:rPr>
          <w:sz w:val="22"/>
          <w:lang w:val="nl-BE"/>
        </w:rPr>
        <w:t>het resultaat zijn van</w:t>
      </w:r>
      <w:r w:rsidRPr="00AE02C5">
        <w:rPr>
          <w:sz w:val="22"/>
          <w:lang w:val="nl-BE"/>
        </w:rPr>
        <w:t xml:space="preserve"> haar werkzaamheden, aan het ICRK, alsook aan buitenlandse </w:t>
      </w:r>
      <w:r w:rsidR="00B61123" w:rsidRPr="00AE02C5">
        <w:rPr>
          <w:sz w:val="22"/>
          <w:lang w:val="nl-BE"/>
        </w:rPr>
        <w:t>instellingen</w:t>
      </w:r>
      <w:r w:rsidRPr="00AE02C5">
        <w:rPr>
          <w:sz w:val="22"/>
          <w:lang w:val="nl-BE"/>
        </w:rPr>
        <w:t xml:space="preserve"> die </w:t>
      </w:r>
      <w:r w:rsidR="0086308F" w:rsidRPr="00AE02C5">
        <w:rPr>
          <w:sz w:val="22"/>
          <w:lang w:val="nl-BE"/>
        </w:rPr>
        <w:t>een</w:t>
      </w:r>
      <w:r w:rsidRPr="00AE02C5">
        <w:rPr>
          <w:sz w:val="22"/>
          <w:lang w:val="nl-BE"/>
        </w:rPr>
        <w:t xml:space="preserve"> gelijkaardige opdracht </w:t>
      </w:r>
      <w:r w:rsidR="00B61123" w:rsidRPr="00AE02C5">
        <w:rPr>
          <w:sz w:val="22"/>
          <w:lang w:val="nl-BE"/>
        </w:rPr>
        <w:t xml:space="preserve">als de commissie </w:t>
      </w:r>
      <w:r w:rsidR="0086308F" w:rsidRPr="00AE02C5">
        <w:rPr>
          <w:sz w:val="22"/>
          <w:lang w:val="nl-BE"/>
        </w:rPr>
        <w:t>vervullen</w:t>
      </w:r>
      <w:r w:rsidRPr="00AE02C5">
        <w:rPr>
          <w:sz w:val="22"/>
          <w:lang w:val="nl-BE"/>
        </w:rPr>
        <w:t xml:space="preserve">, </w:t>
      </w:r>
      <w:r w:rsidR="0086308F" w:rsidRPr="00AE02C5">
        <w:rPr>
          <w:sz w:val="22"/>
          <w:lang w:val="nl-BE"/>
        </w:rPr>
        <w:t>kan</w:t>
      </w:r>
      <w:r w:rsidRPr="00AE02C5">
        <w:rPr>
          <w:sz w:val="22"/>
          <w:lang w:val="nl-BE"/>
        </w:rPr>
        <w:t xml:space="preserve"> </w:t>
      </w:r>
      <w:r w:rsidR="0086308F" w:rsidRPr="00AE02C5">
        <w:rPr>
          <w:sz w:val="22"/>
          <w:lang w:val="nl-BE"/>
        </w:rPr>
        <w:t>meedelen</w:t>
      </w:r>
      <w:r w:rsidRPr="00AE02C5">
        <w:rPr>
          <w:sz w:val="22"/>
          <w:lang w:val="nl-BE"/>
        </w:rPr>
        <w:t>.</w:t>
      </w:r>
    </w:p>
    <w:p w14:paraId="56DFE693" w14:textId="77777777" w:rsidR="00D4190C" w:rsidRPr="00AE02C5" w:rsidRDefault="00D4190C">
      <w:pPr>
        <w:pStyle w:val="Standaard1"/>
        <w:ind w:left="1416"/>
        <w:jc w:val="both"/>
        <w:rPr>
          <w:sz w:val="22"/>
          <w:lang w:val="nl-BE"/>
        </w:rPr>
      </w:pPr>
    </w:p>
    <w:p w14:paraId="41AF146C" w14:textId="287CC254" w:rsidR="00ED3396" w:rsidRPr="00AE02C5" w:rsidRDefault="00D4190C">
      <w:pPr>
        <w:pStyle w:val="Standaard1"/>
        <w:ind w:left="1416"/>
        <w:jc w:val="both"/>
        <w:rPr>
          <w:sz w:val="22"/>
          <w:lang w:val="nl-BE"/>
        </w:rPr>
      </w:pPr>
      <w:r w:rsidRPr="00AE02C5">
        <w:rPr>
          <w:sz w:val="22"/>
          <w:lang w:val="nl-BE"/>
        </w:rPr>
        <w:t xml:space="preserve">Zie met name: aanbevelingen III en VI van de intergouvernementele expertengroep voor de bescherming van oorlogsslachtoffers (Genève, 23 - 27 januari 1995), </w:t>
      </w:r>
      <w:r w:rsidRPr="00AE02C5">
        <w:rPr>
          <w:i/>
          <w:sz w:val="22"/>
          <w:lang w:val="nl-BE"/>
        </w:rPr>
        <w:t>RICR</w:t>
      </w:r>
      <w:r w:rsidRPr="00AE02C5">
        <w:rPr>
          <w:sz w:val="22"/>
          <w:lang w:val="nl-BE"/>
        </w:rPr>
        <w:t xml:space="preserve">, nr. 817, januari - februari 1996, p. 91; document “Meeting on Advisory Services, 8 - 9 november 1995”, ICRK, “Advisory Services Documentation Centre”; </w:t>
      </w:r>
      <w:r w:rsidRPr="00AE02C5">
        <w:rPr>
          <w:i/>
          <w:sz w:val="22"/>
          <w:lang w:val="nl-BE"/>
        </w:rPr>
        <w:t>Commissions</w:t>
      </w:r>
      <w:r w:rsidR="009C3BB7" w:rsidRPr="00AE02C5">
        <w:rPr>
          <w:i/>
          <w:sz w:val="22"/>
          <w:lang w:val="nl-BE"/>
        </w:rPr>
        <w:t xml:space="preserve"> </w:t>
      </w:r>
      <w:r w:rsidRPr="00AE02C5">
        <w:rPr>
          <w:i/>
          <w:sz w:val="22"/>
          <w:lang w:val="nl-BE"/>
        </w:rPr>
        <w:t>ou autres instances nationales pour le droit international humanitaire</w:t>
      </w:r>
      <w:r w:rsidRPr="00AE02C5">
        <w:rPr>
          <w:sz w:val="22"/>
          <w:lang w:val="nl-BE"/>
        </w:rPr>
        <w:t xml:space="preserve">, Verslag van de vergadering van experten (Genève, 23 - 25 oktober 1996), Genève, ICRK, Consultatieve Diensten </w:t>
      </w:r>
      <w:r w:rsidR="00AB61C4" w:rsidRPr="00AE02C5">
        <w:rPr>
          <w:sz w:val="22"/>
          <w:lang w:val="nl-BE"/>
        </w:rPr>
        <w:t>in</w:t>
      </w:r>
      <w:r w:rsidRPr="00AE02C5">
        <w:rPr>
          <w:sz w:val="22"/>
          <w:lang w:val="nl-BE"/>
        </w:rPr>
        <w:t xml:space="preserve"> internationaal humanitair recht, 1997; </w:t>
      </w:r>
      <w:r w:rsidRPr="00AE02C5">
        <w:rPr>
          <w:i/>
          <w:sz w:val="22"/>
          <w:lang w:val="nl-BE"/>
        </w:rPr>
        <w:t xml:space="preserve">Mise en </w:t>
      </w:r>
      <w:r w:rsidR="00AB61C4" w:rsidRPr="00AE02C5">
        <w:rPr>
          <w:i/>
          <w:sz w:val="22"/>
          <w:lang w:val="nl-BE"/>
        </w:rPr>
        <w:t xml:space="preserve">œuvre </w:t>
      </w:r>
      <w:r w:rsidRPr="00AE02C5">
        <w:rPr>
          <w:i/>
          <w:sz w:val="22"/>
          <w:lang w:val="nl-BE"/>
        </w:rPr>
        <w:t xml:space="preserve">nationale du droit international humanitaire. </w:t>
      </w:r>
      <w:r w:rsidRPr="00AE02C5">
        <w:rPr>
          <w:i/>
          <w:sz w:val="22"/>
          <w:lang w:val="fr-BE"/>
        </w:rPr>
        <w:t xml:space="preserve">Rapport annuel 1997, </w:t>
      </w:r>
      <w:r w:rsidRPr="00AE02C5">
        <w:rPr>
          <w:sz w:val="22"/>
          <w:lang w:val="fr-BE"/>
        </w:rPr>
        <w:t xml:space="preserve">Consultatieve Diensten </w:t>
      </w:r>
      <w:r w:rsidR="00AB61C4" w:rsidRPr="00AE02C5">
        <w:rPr>
          <w:sz w:val="22"/>
          <w:lang w:val="fr-BE"/>
        </w:rPr>
        <w:t>in</w:t>
      </w:r>
      <w:r w:rsidRPr="00AE02C5">
        <w:rPr>
          <w:sz w:val="22"/>
          <w:lang w:val="fr-BE"/>
        </w:rPr>
        <w:t xml:space="preserve"> internationaal humanitair recht, Genève, ICRK, 1998; </w:t>
      </w:r>
      <w:r w:rsidRPr="00AE02C5">
        <w:rPr>
          <w:i/>
          <w:sz w:val="22"/>
          <w:lang w:val="fr-BE"/>
        </w:rPr>
        <w:t xml:space="preserve">Mise en </w:t>
      </w:r>
      <w:r w:rsidR="00AB61C4" w:rsidRPr="00AE02C5">
        <w:rPr>
          <w:i/>
          <w:sz w:val="22"/>
          <w:lang w:val="fr-BE"/>
        </w:rPr>
        <w:t>œuvre</w:t>
      </w:r>
      <w:r w:rsidRPr="00AE02C5">
        <w:rPr>
          <w:i/>
          <w:sz w:val="22"/>
          <w:lang w:val="fr-BE"/>
        </w:rPr>
        <w:t xml:space="preserve"> nationale du droit international humanitaire. </w:t>
      </w:r>
      <w:r w:rsidRPr="00AE02C5">
        <w:rPr>
          <w:i/>
          <w:sz w:val="22"/>
          <w:lang w:val="nl-BE"/>
        </w:rPr>
        <w:t>Rapport biennal 2000-2001,</w:t>
      </w:r>
      <w:r w:rsidRPr="00AE02C5">
        <w:rPr>
          <w:sz w:val="22"/>
          <w:lang w:val="nl-BE"/>
        </w:rPr>
        <w:t xml:space="preserve"> Genève, ICRK</w:t>
      </w:r>
      <w:r w:rsidR="00BC60D8" w:rsidRPr="00AE02C5">
        <w:rPr>
          <w:sz w:val="22"/>
          <w:lang w:val="nl-BE"/>
        </w:rPr>
        <w:t>,</w:t>
      </w:r>
      <w:r w:rsidRPr="00AE02C5">
        <w:rPr>
          <w:sz w:val="22"/>
          <w:lang w:val="nl-BE"/>
        </w:rPr>
        <w:t xml:space="preserve"> Consultatieve Diensten in internationaal humanitair recht, 2000</w:t>
      </w:r>
      <w:r w:rsidR="00ED3396" w:rsidRPr="00AE02C5">
        <w:rPr>
          <w:sz w:val="22"/>
          <w:lang w:val="nl-BE"/>
        </w:rPr>
        <w:t xml:space="preserve">. </w:t>
      </w:r>
    </w:p>
    <w:p w14:paraId="74AF4B59" w14:textId="77777777" w:rsidR="00ED3396" w:rsidRPr="00AE02C5" w:rsidRDefault="00ED3396">
      <w:pPr>
        <w:pStyle w:val="Standaard1"/>
        <w:ind w:left="708" w:hanging="708"/>
        <w:jc w:val="both"/>
        <w:rPr>
          <w:sz w:val="22"/>
          <w:lang w:val="nl-BE"/>
        </w:rPr>
      </w:pPr>
    </w:p>
    <w:p w14:paraId="03EA868D" w14:textId="77777777" w:rsidR="00ED3396" w:rsidRPr="00AE02C5" w:rsidRDefault="00ED3396">
      <w:pPr>
        <w:pStyle w:val="Standaard1"/>
        <w:ind w:left="708" w:hanging="708"/>
        <w:jc w:val="both"/>
        <w:rPr>
          <w:sz w:val="22"/>
          <w:lang w:val="nl-BE"/>
        </w:rPr>
      </w:pPr>
    </w:p>
    <w:p w14:paraId="57389461" w14:textId="78EACF72" w:rsidR="00ED3396" w:rsidRPr="00AE02C5" w:rsidRDefault="00ED3396">
      <w:pPr>
        <w:pStyle w:val="Standaard1"/>
        <w:shd w:val="pct10" w:color="auto" w:fill="auto"/>
        <w:ind w:left="708" w:hanging="708"/>
        <w:jc w:val="both"/>
        <w:rPr>
          <w:b/>
          <w:sz w:val="22"/>
          <w:lang w:val="nl-BE"/>
        </w:rPr>
      </w:pPr>
      <w:r w:rsidRPr="00AE02C5">
        <w:rPr>
          <w:b/>
          <w:sz w:val="22"/>
          <w:lang w:val="nl-BE"/>
        </w:rPr>
        <w:t>VI.</w:t>
      </w:r>
      <w:r w:rsidRPr="00AE02C5">
        <w:rPr>
          <w:b/>
          <w:sz w:val="22"/>
          <w:lang w:val="nl-BE"/>
        </w:rPr>
        <w:tab/>
      </w:r>
      <w:r w:rsidR="00BC60D8" w:rsidRPr="00AE02C5">
        <w:rPr>
          <w:b/>
          <w:sz w:val="22"/>
          <w:lang w:val="nl-BE"/>
        </w:rPr>
        <w:t>LAATSTE BIJWERKING</w:t>
      </w:r>
    </w:p>
    <w:p w14:paraId="30A1402E" w14:textId="77777777" w:rsidR="00ED3396" w:rsidRPr="00AE02C5" w:rsidRDefault="00ED3396">
      <w:pPr>
        <w:pStyle w:val="Standaard1"/>
        <w:ind w:left="708" w:hanging="708"/>
        <w:jc w:val="both"/>
        <w:rPr>
          <w:sz w:val="22"/>
          <w:lang w:val="nl-BE"/>
        </w:rPr>
      </w:pPr>
    </w:p>
    <w:p w14:paraId="584690F3" w14:textId="71E29FB1" w:rsidR="00ED3396" w:rsidRPr="00AE02C5" w:rsidRDefault="00ED3396" w:rsidP="00B3732B">
      <w:pPr>
        <w:pStyle w:val="Standaard1"/>
        <w:tabs>
          <w:tab w:val="left" w:pos="709"/>
        </w:tabs>
        <w:ind w:left="708" w:hanging="708"/>
        <w:jc w:val="both"/>
        <w:rPr>
          <w:sz w:val="22"/>
          <w:lang w:val="nl-BE"/>
        </w:rPr>
      </w:pPr>
      <w:r w:rsidRPr="00AE02C5">
        <w:rPr>
          <w:b/>
          <w:sz w:val="22"/>
          <w:lang w:val="nl-BE"/>
        </w:rPr>
        <w:tab/>
      </w:r>
      <w:r w:rsidR="00B3732B" w:rsidRPr="00AE02C5">
        <w:rPr>
          <w:sz w:val="22"/>
          <w:lang w:val="nl-BE"/>
        </w:rPr>
        <w:t>Juni 2019</w:t>
      </w:r>
    </w:p>
    <w:p w14:paraId="263392EB" w14:textId="77777777" w:rsidR="00ED3396" w:rsidRPr="00AE02C5" w:rsidRDefault="00ED3396">
      <w:pPr>
        <w:pStyle w:val="Standaard1"/>
        <w:ind w:left="708" w:hanging="708"/>
        <w:jc w:val="both"/>
        <w:rPr>
          <w:sz w:val="22"/>
          <w:lang w:val="nl-BE"/>
        </w:rPr>
      </w:pPr>
    </w:p>
    <w:p w14:paraId="239816A4" w14:textId="5D06F4E3" w:rsidR="00ED3396" w:rsidRPr="00AE02C5" w:rsidRDefault="00BC60D8">
      <w:pPr>
        <w:pStyle w:val="Standaard1"/>
        <w:shd w:val="pct10" w:color="auto" w:fill="auto"/>
        <w:ind w:left="708" w:hanging="708"/>
        <w:jc w:val="both"/>
        <w:rPr>
          <w:b/>
          <w:sz w:val="22"/>
          <w:lang w:val="nl-BE"/>
        </w:rPr>
      </w:pPr>
      <w:r w:rsidRPr="00AE02C5">
        <w:rPr>
          <w:b/>
          <w:sz w:val="22"/>
          <w:lang w:val="nl-BE"/>
        </w:rPr>
        <w:t>VII.</w:t>
      </w:r>
      <w:r w:rsidRPr="00AE02C5">
        <w:rPr>
          <w:b/>
          <w:sz w:val="22"/>
          <w:lang w:val="nl-BE"/>
        </w:rPr>
        <w:tab/>
        <w:t>DATUM VAN GOEDKEURING DOOR DE ICHR</w:t>
      </w:r>
    </w:p>
    <w:p w14:paraId="1CA9602E" w14:textId="77777777" w:rsidR="00ED3396" w:rsidRPr="00AE02C5" w:rsidRDefault="00ED3396">
      <w:pPr>
        <w:pStyle w:val="Standaard1"/>
        <w:ind w:left="708" w:hanging="708"/>
        <w:jc w:val="both"/>
        <w:rPr>
          <w:sz w:val="22"/>
          <w:lang w:val="nl-BE"/>
        </w:rPr>
      </w:pPr>
    </w:p>
    <w:p w14:paraId="28DB8CF2" w14:textId="25349987" w:rsidR="00ED3396" w:rsidRPr="00AE02C5" w:rsidRDefault="00ED3396">
      <w:pPr>
        <w:pStyle w:val="Standaard1"/>
        <w:tabs>
          <w:tab w:val="left" w:pos="709"/>
        </w:tabs>
        <w:rPr>
          <w:sz w:val="22"/>
          <w:lang w:val="nl-BE"/>
        </w:rPr>
      </w:pPr>
      <w:r w:rsidRPr="00AE02C5">
        <w:rPr>
          <w:b/>
          <w:sz w:val="22"/>
          <w:lang w:val="nl-BE"/>
        </w:rPr>
        <w:tab/>
      </w:r>
      <w:r w:rsidR="00B3732B" w:rsidRPr="00AE02C5">
        <w:rPr>
          <w:sz w:val="22"/>
          <w:lang w:val="nl-BE"/>
        </w:rPr>
        <w:t>12 juni 2019</w:t>
      </w:r>
    </w:p>
    <w:p w14:paraId="09BAD74A" w14:textId="77777777" w:rsidR="00ED3396" w:rsidRPr="00AE02C5" w:rsidRDefault="00ED3396">
      <w:pPr>
        <w:pStyle w:val="Standaard1"/>
        <w:rPr>
          <w:sz w:val="22"/>
          <w:lang w:val="nl-BE"/>
        </w:rPr>
      </w:pPr>
    </w:p>
    <w:p w14:paraId="5FE1EE46" w14:textId="77777777" w:rsidR="00ED3396" w:rsidRPr="00AE02C5" w:rsidRDefault="00ED3396">
      <w:pPr>
        <w:pStyle w:val="Standaard1"/>
        <w:rPr>
          <w:sz w:val="22"/>
          <w:lang w:val="nl-BE"/>
        </w:rPr>
      </w:pPr>
    </w:p>
    <w:p w14:paraId="797EDCB3" w14:textId="55BAC0C5" w:rsidR="00ED3396" w:rsidRPr="00AE02C5" w:rsidRDefault="00ED3396">
      <w:pPr>
        <w:pStyle w:val="Standaard1"/>
        <w:shd w:val="pct10" w:color="auto" w:fill="auto"/>
        <w:ind w:left="708" w:hanging="708"/>
        <w:jc w:val="both"/>
        <w:rPr>
          <w:b/>
          <w:sz w:val="22"/>
          <w:lang w:val="nl-BE"/>
        </w:rPr>
      </w:pPr>
      <w:r w:rsidRPr="00AE02C5">
        <w:rPr>
          <w:b/>
          <w:sz w:val="22"/>
          <w:lang w:val="nl-BE"/>
        </w:rPr>
        <w:t>VIII.</w:t>
      </w:r>
      <w:r w:rsidRPr="00AE02C5">
        <w:rPr>
          <w:b/>
          <w:sz w:val="22"/>
          <w:lang w:val="nl-BE"/>
        </w:rPr>
        <w:tab/>
      </w:r>
      <w:r w:rsidR="00AB61C4" w:rsidRPr="00AE02C5">
        <w:rPr>
          <w:b/>
          <w:sz w:val="22"/>
          <w:lang w:val="nl-BE"/>
        </w:rPr>
        <w:t>BIJLAGEN</w:t>
      </w:r>
    </w:p>
    <w:p w14:paraId="12E5C71A" w14:textId="77777777" w:rsidR="00ED3396" w:rsidRPr="00AE02C5" w:rsidRDefault="00ED3396">
      <w:pPr>
        <w:pStyle w:val="Standaard1"/>
        <w:rPr>
          <w:sz w:val="22"/>
          <w:lang w:val="nl-BE"/>
        </w:rPr>
      </w:pPr>
    </w:p>
    <w:p w14:paraId="594CAFB7" w14:textId="77777777" w:rsidR="00ED3396" w:rsidRPr="00AE02C5" w:rsidRDefault="00ED3396">
      <w:pPr>
        <w:pStyle w:val="Standaard1"/>
        <w:tabs>
          <w:tab w:val="left" w:pos="709"/>
          <w:tab w:val="left" w:pos="1134"/>
        </w:tabs>
        <w:ind w:left="705" w:hanging="360"/>
        <w:rPr>
          <w:sz w:val="22"/>
          <w:lang w:val="nl-BE"/>
        </w:rPr>
      </w:pPr>
    </w:p>
    <w:p w14:paraId="6DFDF50A" w14:textId="62C8376D" w:rsidR="00ED3396" w:rsidRPr="00AE02C5" w:rsidRDefault="00BC60D8">
      <w:pPr>
        <w:pStyle w:val="Standaard1"/>
        <w:numPr>
          <w:ilvl w:val="0"/>
          <w:numId w:val="7"/>
        </w:numPr>
        <w:tabs>
          <w:tab w:val="left" w:pos="709"/>
          <w:tab w:val="left" w:pos="1134"/>
        </w:tabs>
        <w:rPr>
          <w:sz w:val="22"/>
          <w:lang w:val="nl-BE"/>
        </w:rPr>
      </w:pPr>
      <w:r w:rsidRPr="00AE02C5">
        <w:rPr>
          <w:sz w:val="22"/>
          <w:lang w:val="nl-BE"/>
        </w:rPr>
        <w:lastRenderedPageBreak/>
        <w:t xml:space="preserve">Bibliografie </w:t>
      </w:r>
      <w:r w:rsidR="009C3BB7" w:rsidRPr="00AE02C5">
        <w:rPr>
          <w:sz w:val="22"/>
          <w:lang w:val="nl-BE"/>
        </w:rPr>
        <w:t>betreffende</w:t>
      </w:r>
      <w:r w:rsidRPr="00AE02C5">
        <w:rPr>
          <w:sz w:val="22"/>
          <w:lang w:val="nl-BE"/>
        </w:rPr>
        <w:t xml:space="preserve"> de </w:t>
      </w:r>
      <w:r w:rsidR="000B310F" w:rsidRPr="00AE02C5">
        <w:rPr>
          <w:sz w:val="22"/>
          <w:lang w:val="nl-BE"/>
        </w:rPr>
        <w:t>uitvoering</w:t>
      </w:r>
      <w:r w:rsidRPr="00AE02C5">
        <w:rPr>
          <w:sz w:val="22"/>
          <w:lang w:val="nl-BE"/>
        </w:rPr>
        <w:t xml:space="preserve"> van het internationaal humanitair recht in België en de ICHR </w:t>
      </w:r>
    </w:p>
    <w:p w14:paraId="42AE809C" w14:textId="77777777" w:rsidR="00ED3396" w:rsidRPr="00AE02C5" w:rsidRDefault="00ED3396">
      <w:pPr>
        <w:pStyle w:val="Standaard1"/>
        <w:tabs>
          <w:tab w:val="left" w:pos="709"/>
          <w:tab w:val="left" w:pos="993"/>
        </w:tabs>
        <w:rPr>
          <w:sz w:val="22"/>
          <w:lang w:val="nl-BE"/>
        </w:rPr>
      </w:pPr>
    </w:p>
    <w:p w14:paraId="3B88C3CD" w14:textId="77777777" w:rsidR="00ED3396" w:rsidRPr="00AE02C5" w:rsidRDefault="00ED3396">
      <w:pPr>
        <w:pStyle w:val="Standaard1"/>
        <w:tabs>
          <w:tab w:val="left" w:pos="4536"/>
        </w:tabs>
        <w:ind w:left="567"/>
        <w:jc w:val="both"/>
        <w:rPr>
          <w:sz w:val="22"/>
          <w:lang w:val="nl-BE"/>
        </w:rPr>
      </w:pPr>
      <w:r w:rsidRPr="00AE02C5">
        <w:rPr>
          <w:sz w:val="22"/>
          <w:lang w:val="nl-BE"/>
        </w:rPr>
        <w:br w:type="page"/>
      </w:r>
      <w:r w:rsidRPr="00AE02C5">
        <w:rPr>
          <w:sz w:val="22"/>
          <w:lang w:val="nl-BE"/>
        </w:rPr>
        <w:lastRenderedPageBreak/>
        <w:tab/>
      </w:r>
    </w:p>
    <w:p w14:paraId="08CC753B" w14:textId="77777777" w:rsidR="00ED3396" w:rsidRPr="00AE02C5" w:rsidRDefault="00ED3396">
      <w:pPr>
        <w:pStyle w:val="Standaard1"/>
        <w:tabs>
          <w:tab w:val="left" w:pos="4536"/>
        </w:tabs>
        <w:ind w:left="567"/>
        <w:jc w:val="both"/>
        <w:rPr>
          <w:sz w:val="22"/>
          <w:lang w:val="nl-BE"/>
        </w:rPr>
      </w:pPr>
    </w:p>
    <w:p w14:paraId="26B9FF2C" w14:textId="0D8F4144" w:rsidR="00ED3396" w:rsidRPr="00AE02C5" w:rsidRDefault="00BC60D8" w:rsidP="00AE02C5">
      <w:pPr>
        <w:pStyle w:val="Standaard1"/>
        <w:tabs>
          <w:tab w:val="left" w:pos="4536"/>
        </w:tabs>
        <w:ind w:left="567"/>
        <w:jc w:val="center"/>
        <w:rPr>
          <w:b/>
          <w:sz w:val="28"/>
          <w:u w:val="single"/>
          <w:lang w:val="nl-BE"/>
        </w:rPr>
      </w:pPr>
      <w:r w:rsidRPr="00AE02C5">
        <w:rPr>
          <w:b/>
          <w:sz w:val="28"/>
          <w:u w:val="single"/>
          <w:lang w:val="nl-BE"/>
        </w:rPr>
        <w:t>Werkd</w:t>
      </w:r>
      <w:r w:rsidR="00ED3396" w:rsidRPr="00AE02C5">
        <w:rPr>
          <w:b/>
          <w:sz w:val="28"/>
          <w:u w:val="single"/>
          <w:lang w:val="nl-BE"/>
        </w:rPr>
        <w:t>ocument 01</w:t>
      </w:r>
    </w:p>
    <w:p w14:paraId="487F114D" w14:textId="77777777" w:rsidR="00ED3396" w:rsidRPr="00AE02C5" w:rsidRDefault="00ED3396" w:rsidP="00AE02C5">
      <w:pPr>
        <w:pStyle w:val="Standaard1"/>
        <w:tabs>
          <w:tab w:val="left" w:pos="4536"/>
        </w:tabs>
        <w:ind w:left="567"/>
        <w:jc w:val="center"/>
        <w:rPr>
          <w:b/>
          <w:sz w:val="22"/>
          <w:u w:val="single"/>
          <w:lang w:val="nl-BE"/>
        </w:rPr>
      </w:pPr>
    </w:p>
    <w:p w14:paraId="4DC79A67" w14:textId="57765B0D" w:rsidR="00ED3396" w:rsidRPr="00AE02C5" w:rsidRDefault="00AE02C5" w:rsidP="00AE02C5">
      <w:pPr>
        <w:pStyle w:val="Standaard1"/>
        <w:tabs>
          <w:tab w:val="left" w:pos="4536"/>
        </w:tabs>
        <w:rPr>
          <w:b/>
          <w:sz w:val="28"/>
          <w:u w:val="single"/>
          <w:lang w:val="nl-BE"/>
        </w:rPr>
      </w:pPr>
      <w:bookmarkStart w:id="32" w:name="_GoBack"/>
      <w:bookmarkEnd w:id="32"/>
      <w:r w:rsidRPr="00AE02C5">
        <w:rPr>
          <w:b/>
          <w:sz w:val="28"/>
          <w:lang w:val="nl-BE"/>
        </w:rPr>
        <w:tab/>
      </w:r>
      <w:r w:rsidR="00BC60D8" w:rsidRPr="00AE02C5">
        <w:rPr>
          <w:b/>
          <w:sz w:val="28"/>
          <w:u w:val="single"/>
          <w:lang w:val="nl-BE"/>
        </w:rPr>
        <w:t>Bijlagen</w:t>
      </w:r>
    </w:p>
    <w:p w14:paraId="7D7B3CAD" w14:textId="77777777" w:rsidR="00ED3396" w:rsidRPr="00AE02C5" w:rsidRDefault="00ED3396">
      <w:pPr>
        <w:pStyle w:val="Standaard1"/>
        <w:tabs>
          <w:tab w:val="left" w:pos="4536"/>
        </w:tabs>
        <w:ind w:left="4820" w:firstLine="283"/>
        <w:jc w:val="both"/>
        <w:rPr>
          <w:b/>
          <w:sz w:val="22"/>
          <w:u w:val="single"/>
          <w:lang w:val="nl-BE"/>
        </w:rPr>
      </w:pPr>
    </w:p>
    <w:p w14:paraId="7BD3C230" w14:textId="77777777" w:rsidR="00ED3396" w:rsidRPr="00AE02C5" w:rsidRDefault="00ED3396">
      <w:pPr>
        <w:pStyle w:val="Standaard1"/>
        <w:tabs>
          <w:tab w:val="left" w:pos="4536"/>
        </w:tabs>
        <w:ind w:left="4820" w:firstLine="283"/>
        <w:jc w:val="both"/>
        <w:rPr>
          <w:b/>
          <w:sz w:val="22"/>
          <w:u w:val="single"/>
          <w:lang w:val="nl-BE"/>
        </w:rPr>
      </w:pPr>
    </w:p>
    <w:p w14:paraId="7CCB7AE9" w14:textId="5FA786C9" w:rsidR="00ED3396" w:rsidRPr="00AE02C5" w:rsidRDefault="00BC60D8">
      <w:pPr>
        <w:pStyle w:val="Standaard1"/>
        <w:shd w:val="pct10" w:color="auto" w:fill="auto"/>
        <w:ind w:left="1134" w:hanging="1134"/>
        <w:jc w:val="both"/>
        <w:rPr>
          <w:b/>
          <w:sz w:val="22"/>
          <w:u w:val="single"/>
          <w:lang w:val="nl-BE"/>
        </w:rPr>
      </w:pPr>
      <w:r w:rsidRPr="00AE02C5">
        <w:rPr>
          <w:b/>
          <w:sz w:val="22"/>
          <w:u w:val="single"/>
          <w:lang w:val="nl-BE"/>
        </w:rPr>
        <w:t>Bijlage</w:t>
      </w:r>
      <w:r w:rsidR="00ED3396" w:rsidRPr="00AE02C5">
        <w:rPr>
          <w:b/>
          <w:sz w:val="22"/>
          <w:u w:val="single"/>
          <w:lang w:val="nl-BE"/>
        </w:rPr>
        <w:t xml:space="preserve"> </w:t>
      </w:r>
      <w:r w:rsidR="001B5305" w:rsidRPr="00AE02C5">
        <w:rPr>
          <w:b/>
          <w:sz w:val="22"/>
          <w:u w:val="single"/>
          <w:lang w:val="nl-BE"/>
        </w:rPr>
        <w:t>A</w:t>
      </w:r>
      <w:r w:rsidR="00ED3396" w:rsidRPr="00AE02C5">
        <w:rPr>
          <w:b/>
          <w:sz w:val="22"/>
          <w:u w:val="single"/>
          <w:lang w:val="nl-BE"/>
        </w:rPr>
        <w:t xml:space="preserve">- </w:t>
      </w:r>
      <w:r w:rsidR="000B310F" w:rsidRPr="00AE02C5">
        <w:rPr>
          <w:b/>
          <w:sz w:val="22"/>
          <w:u w:val="single"/>
          <w:lang w:val="nl-BE"/>
        </w:rPr>
        <w:t xml:space="preserve">Bibliografie </w:t>
      </w:r>
      <w:r w:rsidR="009C3BB7" w:rsidRPr="00AE02C5">
        <w:rPr>
          <w:b/>
          <w:sz w:val="22"/>
          <w:u w:val="single"/>
          <w:lang w:val="nl-BE"/>
        </w:rPr>
        <w:t>betreffende</w:t>
      </w:r>
      <w:r w:rsidRPr="00AE02C5">
        <w:rPr>
          <w:b/>
          <w:sz w:val="22"/>
          <w:u w:val="single"/>
          <w:lang w:val="nl-BE"/>
        </w:rPr>
        <w:t xml:space="preserve"> de </w:t>
      </w:r>
      <w:r w:rsidR="000B310F" w:rsidRPr="00AE02C5">
        <w:rPr>
          <w:b/>
          <w:sz w:val="22"/>
          <w:u w:val="single"/>
          <w:lang w:val="nl-BE"/>
        </w:rPr>
        <w:t>uitvoering</w:t>
      </w:r>
      <w:r w:rsidRPr="00AE02C5">
        <w:rPr>
          <w:b/>
          <w:sz w:val="22"/>
          <w:u w:val="single"/>
          <w:lang w:val="nl-BE"/>
        </w:rPr>
        <w:t xml:space="preserve"> van het internationaal humanitair recht in België en de ICHR</w:t>
      </w:r>
    </w:p>
    <w:p w14:paraId="2537482A" w14:textId="77777777" w:rsidR="00ED3396" w:rsidRPr="00AE02C5" w:rsidRDefault="00ED3396">
      <w:pPr>
        <w:pStyle w:val="Standaard1"/>
        <w:tabs>
          <w:tab w:val="left" w:pos="4536"/>
        </w:tabs>
        <w:ind w:left="567"/>
        <w:jc w:val="both"/>
        <w:rPr>
          <w:sz w:val="22"/>
          <w:u w:val="single"/>
          <w:lang w:val="nl-BE"/>
        </w:rPr>
      </w:pPr>
    </w:p>
    <w:p w14:paraId="54D82F20" w14:textId="77777777" w:rsidR="00ED3396" w:rsidRPr="00AE02C5" w:rsidRDefault="00ED3396">
      <w:pPr>
        <w:pStyle w:val="Standaard1"/>
        <w:jc w:val="both"/>
        <w:rPr>
          <w:b/>
          <w:sz w:val="22"/>
          <w:u w:val="single"/>
          <w:lang w:val="nl-BE"/>
        </w:rPr>
      </w:pPr>
    </w:p>
    <w:p w14:paraId="0494BD7D" w14:textId="77777777" w:rsidR="00ED3396" w:rsidRPr="00AE02C5" w:rsidRDefault="00ED3396">
      <w:pPr>
        <w:pStyle w:val="Standaard1"/>
        <w:jc w:val="both"/>
        <w:rPr>
          <w:sz w:val="22"/>
          <w:lang w:val="nl-BE"/>
        </w:rPr>
      </w:pPr>
    </w:p>
    <w:p w14:paraId="5936163C" w14:textId="17D4C861" w:rsidR="00ED3396" w:rsidRPr="00AE02C5" w:rsidRDefault="00ED3396">
      <w:pPr>
        <w:pStyle w:val="Standaard1"/>
        <w:ind w:left="426" w:hanging="436"/>
        <w:jc w:val="both"/>
        <w:rPr>
          <w:sz w:val="22"/>
          <w:lang w:val="fr-BE"/>
        </w:rPr>
      </w:pPr>
      <w:r w:rsidRPr="00AE02C5">
        <w:rPr>
          <w:sz w:val="22"/>
          <w:lang w:val="fr-BE"/>
        </w:rPr>
        <w:t>-</w:t>
      </w:r>
      <w:r w:rsidRPr="00AE02C5">
        <w:rPr>
          <w:sz w:val="22"/>
          <w:lang w:val="fr-BE"/>
        </w:rPr>
        <w:tab/>
      </w:r>
      <w:r w:rsidR="00BC60D8" w:rsidRPr="00AE02C5">
        <w:rPr>
          <w:sz w:val="22"/>
          <w:lang w:val="fr-BE"/>
        </w:rPr>
        <w:t xml:space="preserve">A. Andries, “La mise en </w:t>
      </w:r>
      <w:r w:rsidR="004A06F6" w:rsidRPr="00AE02C5">
        <w:rPr>
          <w:sz w:val="22"/>
          <w:lang w:val="fr-BE"/>
        </w:rPr>
        <w:t>œuvre</w:t>
      </w:r>
      <w:r w:rsidR="00BC60D8" w:rsidRPr="00AE02C5">
        <w:rPr>
          <w:sz w:val="22"/>
          <w:lang w:val="fr-BE"/>
        </w:rPr>
        <w:t xml:space="preserve"> des Protocoles additionnels en Belgique”, </w:t>
      </w:r>
      <w:r w:rsidR="00BC60D8" w:rsidRPr="00AE02C5">
        <w:rPr>
          <w:i/>
          <w:sz w:val="22"/>
          <w:lang w:val="fr-BE"/>
        </w:rPr>
        <w:t>RICR</w:t>
      </w:r>
      <w:r w:rsidR="00BC60D8" w:rsidRPr="00AE02C5">
        <w:rPr>
          <w:sz w:val="22"/>
          <w:lang w:val="fr-BE"/>
        </w:rPr>
        <w:t>, nr</w:t>
      </w:r>
      <w:r w:rsidR="004A06F6" w:rsidRPr="00AE02C5">
        <w:rPr>
          <w:sz w:val="22"/>
          <w:lang w:val="fr-BE"/>
        </w:rPr>
        <w:t>.</w:t>
      </w:r>
      <w:r w:rsidR="00BC60D8" w:rsidRPr="00AE02C5">
        <w:rPr>
          <w:sz w:val="22"/>
          <w:lang w:val="fr-BE"/>
        </w:rPr>
        <w:t xml:space="preserve"> 765, mei</w:t>
      </w:r>
      <w:r w:rsidR="004A06F6" w:rsidRPr="00AE02C5">
        <w:rPr>
          <w:sz w:val="22"/>
          <w:lang w:val="fr-BE"/>
        </w:rPr>
        <w:t xml:space="preserve"> </w:t>
      </w:r>
      <w:r w:rsidR="00BC60D8" w:rsidRPr="00AE02C5">
        <w:rPr>
          <w:sz w:val="22"/>
          <w:lang w:val="fr-BE"/>
        </w:rPr>
        <w:t>-</w:t>
      </w:r>
      <w:r w:rsidR="004A06F6" w:rsidRPr="00AE02C5">
        <w:rPr>
          <w:sz w:val="22"/>
          <w:lang w:val="fr-BE"/>
        </w:rPr>
        <w:t xml:space="preserve"> </w:t>
      </w:r>
      <w:r w:rsidR="00BC60D8" w:rsidRPr="00AE02C5">
        <w:rPr>
          <w:sz w:val="22"/>
          <w:lang w:val="fr-BE"/>
        </w:rPr>
        <w:t>juni 1987, pp. 281-286</w:t>
      </w:r>
      <w:r w:rsidRPr="00AE02C5">
        <w:rPr>
          <w:sz w:val="22"/>
          <w:lang w:val="fr-BE"/>
        </w:rPr>
        <w:t>.</w:t>
      </w:r>
    </w:p>
    <w:p w14:paraId="0AFFF3FC" w14:textId="77777777" w:rsidR="00ED3396" w:rsidRPr="00AE02C5" w:rsidRDefault="00ED3396">
      <w:pPr>
        <w:pStyle w:val="Standaard1"/>
        <w:ind w:left="720" w:hanging="708"/>
        <w:jc w:val="both"/>
        <w:rPr>
          <w:sz w:val="22"/>
          <w:lang w:val="fr-BE"/>
        </w:rPr>
      </w:pPr>
    </w:p>
    <w:p w14:paraId="183FCB83" w14:textId="60EA4F49" w:rsidR="00ED3396" w:rsidRPr="00AE02C5" w:rsidRDefault="00ED3396">
      <w:pPr>
        <w:pStyle w:val="Standaard1"/>
        <w:ind w:left="426" w:hanging="436"/>
        <w:jc w:val="both"/>
        <w:rPr>
          <w:sz w:val="22"/>
          <w:lang w:val="fr-BE"/>
        </w:rPr>
      </w:pPr>
      <w:r w:rsidRPr="00AE02C5">
        <w:rPr>
          <w:sz w:val="22"/>
          <w:lang w:val="fr-BE"/>
        </w:rPr>
        <w:t>-</w:t>
      </w:r>
      <w:r w:rsidRPr="00AE02C5">
        <w:rPr>
          <w:sz w:val="22"/>
          <w:lang w:val="fr-BE"/>
        </w:rPr>
        <w:tab/>
      </w:r>
      <w:r w:rsidR="00BC60D8" w:rsidRPr="00AE02C5">
        <w:rPr>
          <w:sz w:val="22"/>
          <w:lang w:val="fr-BE"/>
        </w:rPr>
        <w:t xml:space="preserve">Belgisch verslag als antwoord op de vragenlijst m.b.t. het thema “mise en </w:t>
      </w:r>
      <w:r w:rsidR="000B310F" w:rsidRPr="00AE02C5">
        <w:rPr>
          <w:sz w:val="22"/>
          <w:lang w:val="fr-BE"/>
        </w:rPr>
        <w:t xml:space="preserve">œuvre </w:t>
      </w:r>
      <w:r w:rsidR="00BC60D8" w:rsidRPr="00AE02C5">
        <w:rPr>
          <w:sz w:val="22"/>
          <w:lang w:val="fr-BE"/>
        </w:rPr>
        <w:t>du droit international humanitaire au niveau national, spécialement eu égard au développement de la guerre moderne”, tijdens het XI</w:t>
      </w:r>
      <w:r w:rsidR="00BC60D8" w:rsidRPr="00AE02C5">
        <w:rPr>
          <w:sz w:val="22"/>
          <w:vertAlign w:val="superscript"/>
          <w:lang w:val="fr-BE"/>
        </w:rPr>
        <w:t xml:space="preserve">de </w:t>
      </w:r>
      <w:r w:rsidR="00BC60D8" w:rsidRPr="00AE02C5">
        <w:rPr>
          <w:sz w:val="22"/>
          <w:lang w:val="fr-BE"/>
        </w:rPr>
        <w:t>Internationaal Congres van de Internationale Vereniging voor militair</w:t>
      </w:r>
      <w:r w:rsidR="004A06F6" w:rsidRPr="00AE02C5">
        <w:rPr>
          <w:sz w:val="22"/>
          <w:lang w:val="fr-BE"/>
        </w:rPr>
        <w:t xml:space="preserve"> recht en oorlogsrecht, </w:t>
      </w:r>
      <w:r w:rsidR="00BC60D8" w:rsidRPr="00AE02C5">
        <w:rPr>
          <w:sz w:val="22"/>
          <w:lang w:val="fr-BE"/>
        </w:rPr>
        <w:t xml:space="preserve">in Edinburg, van 19 tot 23 september 1988; dit verslag werd gepubliceerd in het </w:t>
      </w:r>
      <w:r w:rsidR="00BC60D8" w:rsidRPr="00AE02C5">
        <w:rPr>
          <w:i/>
          <w:sz w:val="22"/>
          <w:lang w:val="fr-BE"/>
        </w:rPr>
        <w:t>Tijdschrift voor militair recht en</w:t>
      </w:r>
      <w:r w:rsidR="00BC60D8" w:rsidRPr="00AE02C5">
        <w:rPr>
          <w:sz w:val="22"/>
          <w:lang w:val="fr-BE"/>
        </w:rPr>
        <w:t xml:space="preserve"> </w:t>
      </w:r>
      <w:r w:rsidR="00BC60D8" w:rsidRPr="00AE02C5">
        <w:rPr>
          <w:i/>
          <w:sz w:val="22"/>
          <w:lang w:val="fr-BE"/>
        </w:rPr>
        <w:t>oorlogsrecht</w:t>
      </w:r>
      <w:r w:rsidR="00BC60D8" w:rsidRPr="00AE02C5">
        <w:rPr>
          <w:sz w:val="22"/>
          <w:lang w:val="fr-BE"/>
        </w:rPr>
        <w:t xml:space="preserve">, 1989, pp. 91-121, alsook in de </w:t>
      </w:r>
      <w:r w:rsidR="00BC60D8" w:rsidRPr="00AE02C5">
        <w:rPr>
          <w:i/>
          <w:sz w:val="22"/>
          <w:lang w:val="fr-BE"/>
        </w:rPr>
        <w:t>Recueils de la</w:t>
      </w:r>
      <w:r w:rsidR="00BC60D8" w:rsidRPr="00AE02C5">
        <w:rPr>
          <w:sz w:val="22"/>
          <w:lang w:val="fr-BE"/>
        </w:rPr>
        <w:t xml:space="preserve"> </w:t>
      </w:r>
      <w:r w:rsidR="00BC60D8" w:rsidRPr="00AE02C5">
        <w:rPr>
          <w:i/>
          <w:sz w:val="22"/>
          <w:lang w:val="fr-BE"/>
        </w:rPr>
        <w:t>Société internationale de droit</w:t>
      </w:r>
      <w:r w:rsidR="00BC60D8" w:rsidRPr="00AE02C5">
        <w:rPr>
          <w:sz w:val="22"/>
          <w:lang w:val="fr-BE"/>
        </w:rPr>
        <w:t xml:space="preserve"> </w:t>
      </w:r>
      <w:r w:rsidR="00BC60D8" w:rsidRPr="00AE02C5">
        <w:rPr>
          <w:i/>
          <w:sz w:val="22"/>
          <w:lang w:val="fr-BE"/>
        </w:rPr>
        <w:t>militaire et de droit de la guerre</w:t>
      </w:r>
      <w:r w:rsidR="00BC60D8" w:rsidRPr="00AE02C5">
        <w:rPr>
          <w:sz w:val="22"/>
          <w:lang w:val="fr-BE"/>
        </w:rPr>
        <w:t>,</w:t>
      </w:r>
      <w:r w:rsidR="000B310F" w:rsidRPr="00AE02C5">
        <w:rPr>
          <w:sz w:val="22"/>
          <w:lang w:val="fr-BE"/>
        </w:rPr>
        <w:t xml:space="preserve"> t.</w:t>
      </w:r>
      <w:r w:rsidR="00BC60D8" w:rsidRPr="00AE02C5">
        <w:rPr>
          <w:sz w:val="22"/>
          <w:lang w:val="fr-BE"/>
        </w:rPr>
        <w:t xml:space="preserve"> XI, </w:t>
      </w:r>
      <w:r w:rsidR="000B310F" w:rsidRPr="00AE02C5">
        <w:rPr>
          <w:sz w:val="22"/>
          <w:lang w:val="fr-BE"/>
        </w:rPr>
        <w:t xml:space="preserve">vol. </w:t>
      </w:r>
      <w:r w:rsidR="00BC60D8" w:rsidRPr="00AE02C5">
        <w:rPr>
          <w:sz w:val="22"/>
          <w:lang w:val="fr-BE"/>
        </w:rPr>
        <w:t>1, Brussel, 1989, pp. 91-121</w:t>
      </w:r>
      <w:r w:rsidRPr="00AE02C5">
        <w:rPr>
          <w:sz w:val="22"/>
          <w:lang w:val="fr-BE"/>
        </w:rPr>
        <w:t>.</w:t>
      </w:r>
    </w:p>
    <w:p w14:paraId="626F2692" w14:textId="77777777" w:rsidR="00ED3396" w:rsidRPr="00AE02C5" w:rsidRDefault="00ED3396">
      <w:pPr>
        <w:pStyle w:val="Standaard1"/>
        <w:ind w:left="720" w:hanging="708"/>
        <w:jc w:val="both"/>
        <w:rPr>
          <w:sz w:val="22"/>
          <w:lang w:val="fr-BE"/>
        </w:rPr>
      </w:pPr>
    </w:p>
    <w:p w14:paraId="5D27A1E7" w14:textId="3BB9DF0E" w:rsidR="00ED3396" w:rsidRPr="00AE02C5" w:rsidRDefault="00ED3396">
      <w:pPr>
        <w:pStyle w:val="Standaard1"/>
        <w:ind w:left="426" w:hanging="436"/>
        <w:jc w:val="both"/>
        <w:rPr>
          <w:sz w:val="22"/>
          <w:lang w:val="fr-BE"/>
        </w:rPr>
      </w:pPr>
      <w:r w:rsidRPr="00AE02C5">
        <w:rPr>
          <w:sz w:val="22"/>
          <w:lang w:val="fr-BE"/>
        </w:rPr>
        <w:t>-</w:t>
      </w:r>
      <w:r w:rsidRPr="00AE02C5">
        <w:rPr>
          <w:sz w:val="22"/>
          <w:lang w:val="fr-BE"/>
        </w:rPr>
        <w:tab/>
      </w:r>
      <w:r w:rsidR="00BC60D8" w:rsidRPr="00AE02C5">
        <w:rPr>
          <w:sz w:val="22"/>
          <w:lang w:val="fr-BE"/>
        </w:rPr>
        <w:t xml:space="preserve">A. Andries, “La mise en </w:t>
      </w:r>
      <w:r w:rsidR="000B310F" w:rsidRPr="00AE02C5">
        <w:rPr>
          <w:sz w:val="22"/>
          <w:lang w:val="fr-BE"/>
        </w:rPr>
        <w:t xml:space="preserve">œuvre </w:t>
      </w:r>
      <w:r w:rsidR="00BC60D8" w:rsidRPr="00AE02C5">
        <w:rPr>
          <w:sz w:val="22"/>
          <w:lang w:val="fr-BE"/>
        </w:rPr>
        <w:t xml:space="preserve">du droit international humanitaire en Belgique”, </w:t>
      </w:r>
      <w:r w:rsidR="00BC60D8" w:rsidRPr="00AE02C5">
        <w:rPr>
          <w:i/>
          <w:sz w:val="22"/>
          <w:lang w:val="fr-BE"/>
        </w:rPr>
        <w:t>National</w:t>
      </w:r>
      <w:r w:rsidR="00BC60D8" w:rsidRPr="00AE02C5">
        <w:rPr>
          <w:sz w:val="22"/>
          <w:lang w:val="fr-BE"/>
        </w:rPr>
        <w:t xml:space="preserve"> </w:t>
      </w:r>
      <w:r w:rsidR="00BC60D8" w:rsidRPr="00AE02C5">
        <w:rPr>
          <w:i/>
          <w:sz w:val="22"/>
          <w:lang w:val="fr-BE"/>
        </w:rPr>
        <w:t>Implementation of International</w:t>
      </w:r>
      <w:r w:rsidR="00BC60D8" w:rsidRPr="00AE02C5">
        <w:rPr>
          <w:sz w:val="22"/>
          <w:lang w:val="fr-BE"/>
        </w:rPr>
        <w:t xml:space="preserve"> </w:t>
      </w:r>
      <w:r w:rsidR="00BC60D8" w:rsidRPr="00AE02C5">
        <w:rPr>
          <w:i/>
          <w:sz w:val="22"/>
          <w:lang w:val="fr-BE"/>
        </w:rPr>
        <w:t>Humanitarian Law</w:t>
      </w:r>
      <w:r w:rsidR="00BC60D8" w:rsidRPr="00AE02C5">
        <w:rPr>
          <w:sz w:val="22"/>
          <w:lang w:val="fr-BE"/>
        </w:rPr>
        <w:t>, ed. M. BOTHE, Dordrecht</w:t>
      </w:r>
      <w:r w:rsidR="004A06F6" w:rsidRPr="00AE02C5">
        <w:rPr>
          <w:sz w:val="22"/>
          <w:lang w:val="fr-BE"/>
        </w:rPr>
        <w:t xml:space="preserve"> – </w:t>
      </w:r>
      <w:r w:rsidR="00BC60D8" w:rsidRPr="00AE02C5">
        <w:rPr>
          <w:sz w:val="22"/>
          <w:lang w:val="fr-BE"/>
        </w:rPr>
        <w:t>Boston</w:t>
      </w:r>
      <w:r w:rsidR="004A06F6" w:rsidRPr="00AE02C5">
        <w:rPr>
          <w:sz w:val="22"/>
          <w:lang w:val="fr-BE"/>
        </w:rPr>
        <w:t xml:space="preserve"> </w:t>
      </w:r>
      <w:r w:rsidR="00BC60D8" w:rsidRPr="00AE02C5">
        <w:rPr>
          <w:sz w:val="22"/>
          <w:lang w:val="fr-BE"/>
        </w:rPr>
        <w:t>-</w:t>
      </w:r>
      <w:r w:rsidR="004A06F6" w:rsidRPr="00AE02C5">
        <w:rPr>
          <w:sz w:val="22"/>
          <w:lang w:val="fr-BE"/>
        </w:rPr>
        <w:t xml:space="preserve"> </w:t>
      </w:r>
      <w:r w:rsidR="00BC60D8" w:rsidRPr="00AE02C5">
        <w:rPr>
          <w:sz w:val="22"/>
          <w:lang w:val="fr-BE"/>
        </w:rPr>
        <w:t>London, Nijhoff, 1990, pp. 229-243</w:t>
      </w:r>
      <w:r w:rsidRPr="00AE02C5">
        <w:rPr>
          <w:sz w:val="22"/>
          <w:lang w:val="fr-BE"/>
        </w:rPr>
        <w:t xml:space="preserve">. </w:t>
      </w:r>
    </w:p>
    <w:p w14:paraId="547B0637" w14:textId="77777777" w:rsidR="00ED3396" w:rsidRPr="00AE02C5" w:rsidRDefault="00ED3396">
      <w:pPr>
        <w:pStyle w:val="Standaard1"/>
        <w:ind w:left="720" w:hanging="708"/>
        <w:jc w:val="both"/>
        <w:rPr>
          <w:sz w:val="22"/>
          <w:lang w:val="fr-BE"/>
        </w:rPr>
      </w:pPr>
    </w:p>
    <w:p w14:paraId="724637B8" w14:textId="0B57E057" w:rsidR="004A06F6" w:rsidRPr="00AE02C5" w:rsidRDefault="00ED3396" w:rsidP="004A06F6">
      <w:pPr>
        <w:numPr>
          <w:ilvl w:val="12"/>
          <w:numId w:val="0"/>
        </w:numPr>
        <w:ind w:left="426" w:hanging="142"/>
        <w:jc w:val="both"/>
        <w:rPr>
          <w:sz w:val="22"/>
          <w:lang w:val="fr-BE"/>
        </w:rPr>
      </w:pPr>
      <w:r w:rsidRPr="00AE02C5">
        <w:rPr>
          <w:sz w:val="22"/>
          <w:lang w:val="fr-BE"/>
        </w:rPr>
        <w:t>-</w:t>
      </w:r>
      <w:r w:rsidRPr="00AE02C5">
        <w:rPr>
          <w:sz w:val="22"/>
          <w:lang w:val="fr-BE"/>
        </w:rPr>
        <w:tab/>
      </w:r>
      <w:r w:rsidR="004A06F6" w:rsidRPr="00AE02C5">
        <w:rPr>
          <w:sz w:val="22"/>
          <w:lang w:val="fr-BE"/>
        </w:rPr>
        <w:t xml:space="preserve">M. Offermans, “La Commission interdépartementale de droit humanitaire de Belgique”, </w:t>
      </w:r>
      <w:r w:rsidR="004A06F6" w:rsidRPr="00AE02C5">
        <w:rPr>
          <w:i/>
          <w:sz w:val="22"/>
          <w:lang w:val="fr-BE"/>
        </w:rPr>
        <w:t>RICR</w:t>
      </w:r>
      <w:r w:rsidR="004A06F6" w:rsidRPr="00AE02C5">
        <w:rPr>
          <w:sz w:val="22"/>
          <w:lang w:val="fr-BE"/>
        </w:rPr>
        <w:t>, nr. 788, maart - april 1991, pp. 164-177.</w:t>
      </w:r>
    </w:p>
    <w:p w14:paraId="35E653B8" w14:textId="3F0AA9D6" w:rsidR="00ED3396" w:rsidRPr="00AE02C5" w:rsidRDefault="004A06F6" w:rsidP="004A06F6">
      <w:pPr>
        <w:pStyle w:val="Standaard1"/>
        <w:ind w:left="426" w:hanging="436"/>
        <w:jc w:val="both"/>
        <w:rPr>
          <w:sz w:val="22"/>
          <w:lang w:val="nl-BE"/>
        </w:rPr>
      </w:pPr>
      <w:r w:rsidRPr="00AE02C5">
        <w:rPr>
          <w:sz w:val="22"/>
          <w:lang w:val="fr-BE"/>
        </w:rPr>
        <w:tab/>
      </w:r>
      <w:r w:rsidRPr="00AE02C5">
        <w:rPr>
          <w:sz w:val="22"/>
          <w:lang w:val="nl-BE"/>
        </w:rPr>
        <w:t>Dit artikel werd door zijn auteur voor de periode 1991-1999 aangevuld met het document dat voor de Europese Ontmoeting van de Nationale Commissies voor internationaal humanitair recht (Brussel, 19-20 april 1999) werd opgesteld. Dit document is opgenomen in het verslag van deze vergadering, dat in 1999 door het ICRK werd gepubliceerd onder de titel “Rencontre européenne des Commissions et autres instances nationales du droit international humanitaire”</w:t>
      </w:r>
      <w:r w:rsidR="00ED3396" w:rsidRPr="00AE02C5">
        <w:rPr>
          <w:sz w:val="22"/>
          <w:lang w:val="nl-BE"/>
        </w:rPr>
        <w:t xml:space="preserve">. </w:t>
      </w:r>
    </w:p>
    <w:p w14:paraId="602692A2" w14:textId="77777777" w:rsidR="00ED3396" w:rsidRPr="00AE02C5" w:rsidRDefault="00ED3396">
      <w:pPr>
        <w:pStyle w:val="Standaard1"/>
        <w:ind w:left="426"/>
        <w:jc w:val="both"/>
        <w:rPr>
          <w:sz w:val="22"/>
          <w:lang w:val="nl-BE"/>
        </w:rPr>
      </w:pPr>
    </w:p>
    <w:p w14:paraId="42D4340F" w14:textId="42DF8094" w:rsidR="00ED3396" w:rsidRPr="00AE02C5" w:rsidRDefault="00ED3396">
      <w:pPr>
        <w:pStyle w:val="Standaard1"/>
        <w:ind w:left="426" w:hanging="426"/>
        <w:jc w:val="both"/>
        <w:rPr>
          <w:sz w:val="22"/>
          <w:lang w:val="nl-BE"/>
        </w:rPr>
      </w:pPr>
      <w:r w:rsidRPr="00AE02C5">
        <w:rPr>
          <w:sz w:val="22"/>
          <w:lang w:val="nl-BE"/>
        </w:rPr>
        <w:t>-</w:t>
      </w:r>
      <w:r w:rsidRPr="00AE02C5">
        <w:rPr>
          <w:sz w:val="22"/>
          <w:lang w:val="nl-BE"/>
        </w:rPr>
        <w:tab/>
      </w:r>
      <w:r w:rsidR="004A06F6" w:rsidRPr="00AE02C5">
        <w:rPr>
          <w:sz w:val="22"/>
          <w:lang w:val="nl-BE"/>
        </w:rPr>
        <w:t xml:space="preserve">Verslag aan de Koning dat voorafgaat aan het koninklijk besluit van 6 december 2000 tot </w:t>
      </w:r>
      <w:r w:rsidR="000B310F" w:rsidRPr="00AE02C5">
        <w:rPr>
          <w:sz w:val="22"/>
          <w:lang w:val="nl-BE"/>
        </w:rPr>
        <w:t>herinrichting</w:t>
      </w:r>
      <w:r w:rsidR="004A06F6" w:rsidRPr="00AE02C5">
        <w:rPr>
          <w:sz w:val="22"/>
          <w:lang w:val="nl-BE"/>
        </w:rPr>
        <w:t xml:space="preserve"> van de Interdepartementale Commissie voor humanitair recht (</w:t>
      </w:r>
      <w:r w:rsidR="004A06F6" w:rsidRPr="00AE02C5">
        <w:rPr>
          <w:i/>
          <w:sz w:val="22"/>
          <w:lang w:val="nl-BE"/>
        </w:rPr>
        <w:t xml:space="preserve">Belgisch Staatsblad </w:t>
      </w:r>
      <w:r w:rsidR="004A06F6" w:rsidRPr="00AE02C5">
        <w:rPr>
          <w:sz w:val="22"/>
          <w:lang w:val="nl-BE"/>
        </w:rPr>
        <w:t>van 12 december 2000</w:t>
      </w:r>
      <w:r w:rsidRPr="00AE02C5">
        <w:rPr>
          <w:sz w:val="22"/>
          <w:lang w:val="nl-BE"/>
        </w:rPr>
        <w:t>).</w:t>
      </w:r>
    </w:p>
    <w:p w14:paraId="24F706A8" w14:textId="77777777" w:rsidR="00A352D9" w:rsidRPr="00AE02C5" w:rsidRDefault="00A352D9">
      <w:pPr>
        <w:pStyle w:val="Standaard1"/>
        <w:ind w:left="426" w:hanging="426"/>
        <w:jc w:val="both"/>
        <w:rPr>
          <w:sz w:val="22"/>
          <w:lang w:val="nl-BE"/>
        </w:rPr>
      </w:pPr>
    </w:p>
    <w:p w14:paraId="61DDE9CE" w14:textId="77777777" w:rsidR="00ED3396" w:rsidRPr="00AE02C5" w:rsidRDefault="00ED3396">
      <w:pPr>
        <w:pStyle w:val="Standaard1"/>
        <w:ind w:left="720"/>
        <w:jc w:val="both"/>
        <w:rPr>
          <w:sz w:val="22"/>
          <w:lang w:val="nl-BE"/>
        </w:rPr>
      </w:pPr>
    </w:p>
    <w:p w14:paraId="195F732F" w14:textId="0E8FC919" w:rsidR="00ED3396" w:rsidRPr="00AE02C5" w:rsidRDefault="00ED3396">
      <w:pPr>
        <w:pStyle w:val="Standaard1"/>
        <w:ind w:left="426" w:hanging="436"/>
        <w:jc w:val="both"/>
        <w:rPr>
          <w:sz w:val="22"/>
          <w:lang w:val="nl-BE"/>
        </w:rPr>
      </w:pPr>
      <w:r w:rsidRPr="00AE02C5">
        <w:rPr>
          <w:sz w:val="22"/>
          <w:lang w:val="nl-BE"/>
        </w:rPr>
        <w:t>-</w:t>
      </w:r>
      <w:r w:rsidRPr="00AE02C5">
        <w:rPr>
          <w:sz w:val="22"/>
          <w:lang w:val="nl-BE"/>
        </w:rPr>
        <w:tab/>
      </w:r>
      <w:r w:rsidR="004A06F6" w:rsidRPr="00AE02C5">
        <w:rPr>
          <w:sz w:val="22"/>
          <w:lang w:val="nl-BE"/>
        </w:rPr>
        <w:t>In het tij</w:t>
      </w:r>
      <w:r w:rsidR="006B5282" w:rsidRPr="00AE02C5">
        <w:rPr>
          <w:sz w:val="22"/>
          <w:lang w:val="nl-BE"/>
        </w:rPr>
        <w:t>d</w:t>
      </w:r>
      <w:r w:rsidR="004A06F6" w:rsidRPr="00AE02C5">
        <w:rPr>
          <w:sz w:val="22"/>
          <w:lang w:val="nl-BE"/>
        </w:rPr>
        <w:t xml:space="preserve">schrift </w:t>
      </w:r>
      <w:r w:rsidR="004A06F6" w:rsidRPr="00AE02C5">
        <w:rPr>
          <w:i/>
          <w:sz w:val="22"/>
          <w:lang w:val="nl-BE"/>
        </w:rPr>
        <w:t>Zoeklicht</w:t>
      </w:r>
      <w:r w:rsidR="004A06F6" w:rsidRPr="00AE02C5">
        <w:rPr>
          <w:sz w:val="22"/>
          <w:lang w:val="nl-BE"/>
        </w:rPr>
        <w:t xml:space="preserve">, dat door het </w:t>
      </w:r>
      <w:r w:rsidR="006B5282" w:rsidRPr="00AE02C5">
        <w:rPr>
          <w:sz w:val="22"/>
          <w:lang w:val="nl-BE"/>
        </w:rPr>
        <w:t xml:space="preserve">Belgische </w:t>
      </w:r>
      <w:r w:rsidR="004A06F6" w:rsidRPr="00AE02C5">
        <w:rPr>
          <w:sz w:val="22"/>
          <w:lang w:val="nl-BE"/>
        </w:rPr>
        <w:t xml:space="preserve">Rode Kruis - Rode Kruis Vlaanderen wordt uitgegeven, </w:t>
      </w:r>
      <w:r w:rsidR="00B7691F" w:rsidRPr="00AE02C5">
        <w:rPr>
          <w:sz w:val="22"/>
          <w:lang w:val="nl-BE"/>
        </w:rPr>
        <w:t>verschenen</w:t>
      </w:r>
      <w:r w:rsidR="004A06F6" w:rsidRPr="00AE02C5">
        <w:rPr>
          <w:sz w:val="22"/>
          <w:lang w:val="nl-BE"/>
        </w:rPr>
        <w:t xml:space="preserve"> </w:t>
      </w:r>
      <w:r w:rsidR="006B5282" w:rsidRPr="00AE02C5">
        <w:rPr>
          <w:sz w:val="22"/>
          <w:lang w:val="nl-BE"/>
        </w:rPr>
        <w:t>enkele</w:t>
      </w:r>
      <w:r w:rsidR="004A06F6" w:rsidRPr="00AE02C5">
        <w:rPr>
          <w:sz w:val="22"/>
          <w:lang w:val="nl-BE"/>
        </w:rPr>
        <w:t xml:space="preserve"> artikelen </w:t>
      </w:r>
      <w:r w:rsidR="00B7691F" w:rsidRPr="00AE02C5">
        <w:rPr>
          <w:sz w:val="22"/>
          <w:lang w:val="nl-BE"/>
        </w:rPr>
        <w:t>over</w:t>
      </w:r>
      <w:r w:rsidR="004A06F6" w:rsidRPr="00AE02C5">
        <w:rPr>
          <w:sz w:val="22"/>
          <w:lang w:val="nl-BE"/>
        </w:rPr>
        <w:t xml:space="preserve"> de ICHR: A. Acke, “Nationale maatregelen voor tenuitvoerlegging. De Interdepartementale Commissie voor humanitair recht”, </w:t>
      </w:r>
      <w:r w:rsidR="004A06F6" w:rsidRPr="00AE02C5">
        <w:rPr>
          <w:i/>
          <w:sz w:val="22"/>
          <w:lang w:val="nl-BE"/>
        </w:rPr>
        <w:t>Zoeklicht</w:t>
      </w:r>
      <w:r w:rsidR="004A06F6" w:rsidRPr="00AE02C5">
        <w:rPr>
          <w:sz w:val="22"/>
          <w:lang w:val="nl-BE"/>
        </w:rPr>
        <w:t>, nr</w:t>
      </w:r>
      <w:r w:rsidR="006B5282" w:rsidRPr="00AE02C5">
        <w:rPr>
          <w:sz w:val="22"/>
          <w:lang w:val="nl-BE"/>
        </w:rPr>
        <w:t>.</w:t>
      </w:r>
      <w:r w:rsidR="004A06F6" w:rsidRPr="00AE02C5">
        <w:rPr>
          <w:sz w:val="22"/>
          <w:lang w:val="nl-BE"/>
        </w:rPr>
        <w:t xml:space="preserve"> 17, januari-april 1997, pp. 13-15; S. Picavet, “De Interdepartementale Commissie voor humanitair recht”, </w:t>
      </w:r>
      <w:r w:rsidR="004A06F6" w:rsidRPr="00AE02C5">
        <w:rPr>
          <w:i/>
          <w:sz w:val="22"/>
          <w:lang w:val="nl-BE"/>
        </w:rPr>
        <w:t>Zoeklicht</w:t>
      </w:r>
      <w:r w:rsidR="004A06F6" w:rsidRPr="00AE02C5">
        <w:rPr>
          <w:sz w:val="22"/>
          <w:lang w:val="nl-BE"/>
        </w:rPr>
        <w:t>, nr</w:t>
      </w:r>
      <w:r w:rsidR="006B5282" w:rsidRPr="00AE02C5">
        <w:rPr>
          <w:sz w:val="22"/>
          <w:lang w:val="nl-BE"/>
        </w:rPr>
        <w:t>.</w:t>
      </w:r>
      <w:r w:rsidR="004A06F6" w:rsidRPr="00AE02C5">
        <w:rPr>
          <w:sz w:val="22"/>
          <w:lang w:val="nl-BE"/>
        </w:rPr>
        <w:t xml:space="preserve"> 29, januari-april 2001, pp. 21-22</w:t>
      </w:r>
      <w:r w:rsidRPr="00AE02C5">
        <w:rPr>
          <w:sz w:val="22"/>
          <w:lang w:val="nl-BE"/>
        </w:rPr>
        <w:t>.</w:t>
      </w:r>
    </w:p>
    <w:p w14:paraId="11AFBB52" w14:textId="77777777" w:rsidR="00A352D9" w:rsidRPr="00AE02C5" w:rsidRDefault="00A352D9">
      <w:pPr>
        <w:pStyle w:val="Standaard1"/>
        <w:ind w:left="426" w:hanging="436"/>
        <w:jc w:val="both"/>
        <w:rPr>
          <w:sz w:val="22"/>
          <w:lang w:val="nl-BE"/>
        </w:rPr>
      </w:pPr>
    </w:p>
    <w:p w14:paraId="0FE18954" w14:textId="58A86D4F" w:rsidR="006A0624" w:rsidRPr="00AE02C5" w:rsidRDefault="006A0624" w:rsidP="00A352D9">
      <w:pPr>
        <w:pStyle w:val="Standaard1"/>
        <w:numPr>
          <w:ilvl w:val="0"/>
          <w:numId w:val="27"/>
        </w:numPr>
        <w:ind w:left="426"/>
        <w:jc w:val="both"/>
        <w:rPr>
          <w:sz w:val="22"/>
          <w:lang w:val="fr-BE"/>
        </w:rPr>
      </w:pPr>
      <w:r w:rsidRPr="00AE02C5">
        <w:rPr>
          <w:sz w:val="22"/>
          <w:lang w:val="fr-BE"/>
        </w:rPr>
        <w:t>Frédéric Casier e</w:t>
      </w:r>
      <w:r w:rsidR="006B5282" w:rsidRPr="00AE02C5">
        <w:rPr>
          <w:sz w:val="22"/>
          <w:lang w:val="fr-BE"/>
        </w:rPr>
        <w:t>n</w:t>
      </w:r>
      <w:r w:rsidRPr="00AE02C5">
        <w:rPr>
          <w:sz w:val="22"/>
          <w:lang w:val="fr-BE"/>
        </w:rPr>
        <w:t xml:space="preserve"> Alix Janssens, </w:t>
      </w:r>
      <w:r w:rsidR="006B5282" w:rsidRPr="00AE02C5">
        <w:rPr>
          <w:sz w:val="22"/>
          <w:lang w:val="fr-BE"/>
        </w:rPr>
        <w:t>“</w:t>
      </w:r>
      <w:r w:rsidRPr="00AE02C5">
        <w:rPr>
          <w:sz w:val="22"/>
          <w:lang w:val="fr-BE"/>
        </w:rPr>
        <w:t xml:space="preserve">La Commission interministérielle de droit humanitaire de Belgique : Un organe consultatif devenu incontournable dans la mise en </w:t>
      </w:r>
      <w:r w:rsidR="00AB61C4" w:rsidRPr="00AE02C5">
        <w:rPr>
          <w:sz w:val="22"/>
          <w:lang w:val="fr-BE"/>
        </w:rPr>
        <w:t>œuvre</w:t>
      </w:r>
      <w:r w:rsidRPr="00AE02C5">
        <w:rPr>
          <w:sz w:val="22"/>
          <w:lang w:val="fr-BE"/>
        </w:rPr>
        <w:t xml:space="preserve"> et la promotion du droit international humanitaire</w:t>
      </w:r>
      <w:r w:rsidR="006B5282" w:rsidRPr="00AE02C5">
        <w:rPr>
          <w:sz w:val="22"/>
          <w:lang w:val="fr-BE"/>
        </w:rPr>
        <w:t>”</w:t>
      </w:r>
      <w:r w:rsidRPr="00AE02C5">
        <w:rPr>
          <w:sz w:val="22"/>
          <w:lang w:val="fr-BE"/>
        </w:rPr>
        <w:t>, Revue internationale de la Croix-Rouge, Volume 96 Sélection française 2014 / 3 e</w:t>
      </w:r>
      <w:r w:rsidR="006B5282" w:rsidRPr="00AE02C5">
        <w:rPr>
          <w:sz w:val="22"/>
          <w:lang w:val="fr-BE"/>
        </w:rPr>
        <w:t>n</w:t>
      </w:r>
      <w:r w:rsidRPr="00AE02C5">
        <w:rPr>
          <w:sz w:val="22"/>
          <w:lang w:val="fr-BE"/>
        </w:rPr>
        <w:t xml:space="preserve"> 4</w:t>
      </w:r>
      <w:r w:rsidR="00DC7CF2" w:rsidRPr="00AE02C5">
        <w:rPr>
          <w:sz w:val="22"/>
          <w:lang w:val="fr-BE"/>
        </w:rPr>
        <w:t xml:space="preserve">, </w:t>
      </w:r>
      <w:r w:rsidR="00DC7CF2" w:rsidRPr="00AE02C5">
        <w:rPr>
          <w:sz w:val="22"/>
          <w:szCs w:val="22"/>
          <w:lang w:val="fr-BE" w:bidi="en-US"/>
        </w:rPr>
        <w:t>pp. 209-227</w:t>
      </w:r>
      <w:r w:rsidRPr="00AE02C5">
        <w:rPr>
          <w:sz w:val="22"/>
          <w:lang w:val="fr-BE"/>
        </w:rPr>
        <w:t>.</w:t>
      </w:r>
    </w:p>
    <w:p w14:paraId="7139DB83" w14:textId="77777777" w:rsidR="00972B65" w:rsidRPr="00AE02C5" w:rsidRDefault="00972B65" w:rsidP="00A352D9">
      <w:pPr>
        <w:pStyle w:val="Standaard1"/>
        <w:ind w:left="426"/>
        <w:jc w:val="both"/>
        <w:rPr>
          <w:sz w:val="22"/>
          <w:lang w:val="fr-BE"/>
        </w:rPr>
      </w:pPr>
    </w:p>
    <w:p w14:paraId="15E5843B" w14:textId="12183094" w:rsidR="00676D62" w:rsidRPr="00AE02C5" w:rsidRDefault="002F525A" w:rsidP="00E60486">
      <w:pPr>
        <w:pStyle w:val="Standaard1"/>
        <w:numPr>
          <w:ilvl w:val="0"/>
          <w:numId w:val="27"/>
        </w:numPr>
        <w:ind w:left="426"/>
        <w:jc w:val="both"/>
        <w:rPr>
          <w:sz w:val="22"/>
          <w:lang w:val="fr-BE"/>
        </w:rPr>
      </w:pPr>
      <w:r w:rsidRPr="00AE02C5">
        <w:rPr>
          <w:sz w:val="22"/>
          <w:lang w:val="fr-BE"/>
        </w:rPr>
        <w:t>http://www.vvn.be/wereldbeeld/32ste-internationale-conferentie-van-het-rode-kruis-en-de-rode-halve-maan-op-zoek-naar-antwoorden-op-de-groeiende-humanitaire-noden/</w:t>
      </w:r>
    </w:p>
    <w:sectPr w:rsidR="00676D62" w:rsidRPr="00AE02C5" w:rsidSect="006D2439">
      <w:headerReference w:type="even" r:id="rId17"/>
      <w:headerReference w:type="default" r:id="rId18"/>
      <w:footerReference w:type="even" r:id="rId19"/>
      <w:footerReference w:type="default" r:id="rId20"/>
      <w:headerReference w:type="first" r:id="rId21"/>
      <w:endnotePr>
        <w:numFmt w:val="decimal"/>
      </w:endnotePr>
      <w:type w:val="continuous"/>
      <w:pgSz w:w="11907" w:h="16840"/>
      <w:pgMar w:top="1418" w:right="1418" w:bottom="1418" w:left="709" w:header="851" w:footer="851"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EB62A" w14:textId="77777777" w:rsidR="00A1278B" w:rsidRDefault="00A1278B">
      <w:r>
        <w:separator/>
      </w:r>
    </w:p>
  </w:endnote>
  <w:endnote w:type="continuationSeparator" w:id="0">
    <w:p w14:paraId="5171909F" w14:textId="77777777" w:rsidR="00A1278B" w:rsidRDefault="00A1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0C0B" w14:textId="2B4E74BD" w:rsidR="00A53327" w:rsidRDefault="00A53327">
    <w:pPr>
      <w:pStyle w:val="Voettekst1"/>
      <w:jc w:val="right"/>
    </w:pPr>
    <w:r>
      <w:t xml:space="preserve">CIDH 01 F </w:t>
    </w:r>
    <w:r w:rsidRPr="00D40DB2">
      <w:t xml:space="preserve">– </w:t>
    </w:r>
    <w:r>
      <w:t>SEPT</w:t>
    </w:r>
    <w:r w:rsidRPr="00D40DB2">
      <w:t xml:space="preserve"> </w:t>
    </w:r>
    <w:r>
      <w:t>2</w:t>
    </w:r>
    <w:r w:rsidRPr="00D40DB2">
      <w:t>0</w:t>
    </w:r>
    <w:r>
      <w:t>1</w:t>
    </w:r>
    <w:r w:rsidRPr="00D40DB2">
      <w:t>7 / page</w:t>
    </w:r>
    <w:r>
      <w:t xml:space="preserve"> </w:t>
    </w:r>
    <w:r>
      <w:rPr>
        <w:rStyle w:val="Paginanummer1"/>
      </w:rPr>
      <w:fldChar w:fldCharType="begin"/>
    </w:r>
    <w:r>
      <w:rPr>
        <w:rStyle w:val="Paginanummer1"/>
      </w:rPr>
      <w:instrText xml:space="preserve">page </w:instrText>
    </w:r>
    <w:r>
      <w:rPr>
        <w:rStyle w:val="Paginanummer1"/>
      </w:rPr>
      <w:fldChar w:fldCharType="separate"/>
    </w:r>
    <w:r>
      <w:rPr>
        <w:rStyle w:val="Paginanummer1"/>
        <w:noProof/>
      </w:rPr>
      <w:t>2</w:t>
    </w:r>
    <w:r>
      <w:rPr>
        <w:rStyle w:val="Paginanumm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B29E" w14:textId="28867EA5" w:rsidR="00A53327" w:rsidRDefault="00A53327">
    <w:pPr>
      <w:pStyle w:val="Footer"/>
      <w:tabs>
        <w:tab w:val="clear" w:pos="4320"/>
        <w:tab w:val="center" w:pos="3686"/>
      </w:tabs>
      <w:jc w:val="right"/>
    </w:pPr>
    <w:r>
      <w:t xml:space="preserve">ICHR 01 N – </w:t>
    </w:r>
    <w:r w:rsidR="00AE02C5">
      <w:t>JUNI 2019</w:t>
    </w:r>
    <w:r w:rsidRPr="00D40DB2">
      <w:t xml:space="preserve"> /</w:t>
    </w:r>
    <w:r>
      <w:t xml:space="preserve"> pagina </w:t>
    </w:r>
    <w:r>
      <w:rPr>
        <w:rStyle w:val="Paginanummer1"/>
      </w:rPr>
      <w:fldChar w:fldCharType="begin"/>
    </w:r>
    <w:r>
      <w:rPr>
        <w:rStyle w:val="Paginanummer1"/>
      </w:rPr>
      <w:instrText xml:space="preserve">page </w:instrText>
    </w:r>
    <w:r>
      <w:rPr>
        <w:rStyle w:val="Paginanummer1"/>
      </w:rPr>
      <w:fldChar w:fldCharType="separate"/>
    </w:r>
    <w:r w:rsidR="00FE6B4C">
      <w:rPr>
        <w:rStyle w:val="Paginanummer1"/>
        <w:noProof/>
      </w:rPr>
      <w:t>14</w:t>
    </w:r>
    <w:r>
      <w:rPr>
        <w:rStyle w:val="Paginanumm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1B81" w14:textId="77777777" w:rsidR="00A1278B" w:rsidRDefault="00A1278B">
      <w:r>
        <w:separator/>
      </w:r>
    </w:p>
  </w:footnote>
  <w:footnote w:type="continuationSeparator" w:id="0">
    <w:p w14:paraId="5A05C49D" w14:textId="77777777" w:rsidR="00A1278B" w:rsidRDefault="00A1278B">
      <w:r>
        <w:continuationSeparator/>
      </w:r>
    </w:p>
  </w:footnote>
  <w:footnote w:id="1">
    <w:p w14:paraId="6B680645" w14:textId="77777777" w:rsidR="008A157B" w:rsidRPr="00EC1E42" w:rsidRDefault="008A157B" w:rsidP="008A157B">
      <w:pPr>
        <w:pStyle w:val="FootnoteText"/>
        <w:jc w:val="both"/>
        <w:rPr>
          <w:sz w:val="18"/>
          <w:szCs w:val="18"/>
          <w:lang w:val="nl-BE"/>
        </w:rPr>
      </w:pPr>
      <w:r w:rsidRPr="00EC1E42">
        <w:rPr>
          <w:rStyle w:val="FootnoteReference"/>
          <w:sz w:val="18"/>
          <w:szCs w:val="18"/>
          <w:lang w:val="nl-BE"/>
        </w:rPr>
        <w:footnoteRef/>
      </w:r>
      <w:r w:rsidRPr="00EC1E42">
        <w:rPr>
          <w:sz w:val="18"/>
          <w:szCs w:val="18"/>
          <w:lang w:val="nl-BE"/>
        </w:rPr>
        <w:t xml:space="preserve"> Vermeldenswaard zijn:</w:t>
      </w:r>
    </w:p>
    <w:p w14:paraId="10C568B9" w14:textId="77777777" w:rsidR="008A157B" w:rsidRPr="00EC1E42" w:rsidRDefault="008A157B" w:rsidP="008A157B">
      <w:pPr>
        <w:pStyle w:val="FootnoteText"/>
        <w:numPr>
          <w:ilvl w:val="0"/>
          <w:numId w:val="39"/>
        </w:numPr>
        <w:jc w:val="both"/>
        <w:rPr>
          <w:sz w:val="18"/>
          <w:szCs w:val="18"/>
          <w:lang w:val="nl-BE"/>
        </w:rPr>
      </w:pPr>
      <w:r w:rsidRPr="00EC1E42">
        <w:rPr>
          <w:sz w:val="18"/>
          <w:szCs w:val="18"/>
          <w:lang w:val="nl-BE"/>
        </w:rPr>
        <w:t>Resolutie V betreffende de “</w:t>
      </w:r>
      <w:r>
        <w:rPr>
          <w:sz w:val="18"/>
          <w:szCs w:val="18"/>
          <w:lang w:val="nl-BE"/>
        </w:rPr>
        <w:t xml:space="preserve">Nationale uitvoeringsmaatregelen van het internationaal humanitair recht” van de </w:t>
      </w:r>
      <w:r w:rsidRPr="00EC1E42">
        <w:rPr>
          <w:sz w:val="18"/>
          <w:szCs w:val="18"/>
          <w:lang w:val="nl-BE"/>
        </w:rPr>
        <w:t>XXV</w:t>
      </w:r>
      <w:r w:rsidRPr="0073439F">
        <w:rPr>
          <w:sz w:val="18"/>
          <w:szCs w:val="18"/>
          <w:vertAlign w:val="superscript"/>
          <w:lang w:val="nl-BE"/>
        </w:rPr>
        <w:t>ste</w:t>
      </w:r>
      <w:r w:rsidRPr="00EC1E42">
        <w:rPr>
          <w:sz w:val="18"/>
          <w:szCs w:val="18"/>
          <w:lang w:val="nl-BE"/>
        </w:rPr>
        <w:t xml:space="preserve"> </w:t>
      </w:r>
      <w:r>
        <w:rPr>
          <w:sz w:val="18"/>
          <w:szCs w:val="18"/>
          <w:lang w:val="nl-BE"/>
        </w:rPr>
        <w:t xml:space="preserve">Internationale Conferentie van het Rode Kruis en de Rode Halve Maan </w:t>
      </w:r>
      <w:r w:rsidRPr="00EC1E42">
        <w:rPr>
          <w:sz w:val="18"/>
          <w:szCs w:val="18"/>
          <w:lang w:val="nl-BE"/>
        </w:rPr>
        <w:t>(Genève, 23-31 o</w:t>
      </w:r>
      <w:r>
        <w:rPr>
          <w:sz w:val="18"/>
          <w:szCs w:val="18"/>
          <w:lang w:val="nl-BE"/>
        </w:rPr>
        <w:t>ktober</w:t>
      </w:r>
      <w:r w:rsidRPr="00EC1E42">
        <w:rPr>
          <w:sz w:val="18"/>
          <w:szCs w:val="18"/>
          <w:lang w:val="nl-BE"/>
        </w:rPr>
        <w:t xml:space="preserve"> 1986), </w:t>
      </w:r>
      <w:r>
        <w:rPr>
          <w:sz w:val="18"/>
          <w:szCs w:val="18"/>
          <w:lang w:val="nl-BE"/>
        </w:rPr>
        <w:t xml:space="preserve">gepubliceerd in de </w:t>
      </w:r>
      <w:r w:rsidRPr="00EC1E42">
        <w:rPr>
          <w:sz w:val="18"/>
          <w:szCs w:val="18"/>
          <w:lang w:val="nl-BE"/>
        </w:rPr>
        <w:t>RICR, n</w:t>
      </w:r>
      <w:r>
        <w:rPr>
          <w:sz w:val="18"/>
          <w:szCs w:val="18"/>
          <w:lang w:val="nl-BE"/>
        </w:rPr>
        <w:t>r.</w:t>
      </w:r>
      <w:r w:rsidRPr="00EC1E42">
        <w:rPr>
          <w:sz w:val="18"/>
          <w:szCs w:val="18"/>
          <w:lang w:val="nl-BE"/>
        </w:rPr>
        <w:t xml:space="preserve"> 762, novemb</w:t>
      </w:r>
      <w:r>
        <w:rPr>
          <w:sz w:val="18"/>
          <w:szCs w:val="18"/>
          <w:lang w:val="nl-BE"/>
        </w:rPr>
        <w:t>er –</w:t>
      </w:r>
      <w:r w:rsidRPr="00EC1E42">
        <w:rPr>
          <w:sz w:val="18"/>
          <w:szCs w:val="18"/>
          <w:lang w:val="nl-BE"/>
        </w:rPr>
        <w:t xml:space="preserve"> d</w:t>
      </w:r>
      <w:r>
        <w:rPr>
          <w:sz w:val="18"/>
          <w:szCs w:val="18"/>
          <w:lang w:val="nl-BE"/>
        </w:rPr>
        <w:t>e</w:t>
      </w:r>
      <w:r w:rsidRPr="00EC1E42">
        <w:rPr>
          <w:sz w:val="18"/>
          <w:szCs w:val="18"/>
          <w:lang w:val="nl-BE"/>
        </w:rPr>
        <w:t>cemb</w:t>
      </w:r>
      <w:r>
        <w:rPr>
          <w:sz w:val="18"/>
          <w:szCs w:val="18"/>
          <w:lang w:val="nl-BE"/>
        </w:rPr>
        <w:t>e</w:t>
      </w:r>
      <w:r w:rsidRPr="00EC1E42">
        <w:rPr>
          <w:sz w:val="18"/>
          <w:szCs w:val="18"/>
          <w:lang w:val="nl-BE"/>
        </w:rPr>
        <w:t>r 1986, pp. 358-359 e</w:t>
      </w:r>
      <w:r>
        <w:rPr>
          <w:sz w:val="18"/>
          <w:szCs w:val="18"/>
          <w:lang w:val="nl-BE"/>
        </w:rPr>
        <w:t xml:space="preserve">n nr. </w:t>
      </w:r>
      <w:r w:rsidRPr="00EC1E42">
        <w:rPr>
          <w:sz w:val="18"/>
          <w:szCs w:val="18"/>
          <w:lang w:val="nl-BE"/>
        </w:rPr>
        <w:t>770, ma</w:t>
      </w:r>
      <w:r>
        <w:rPr>
          <w:sz w:val="18"/>
          <w:szCs w:val="18"/>
          <w:lang w:val="nl-BE"/>
        </w:rPr>
        <w:t>a</w:t>
      </w:r>
      <w:r w:rsidRPr="00EC1E42">
        <w:rPr>
          <w:sz w:val="18"/>
          <w:szCs w:val="18"/>
          <w:lang w:val="nl-BE"/>
        </w:rPr>
        <w:t>r</w:t>
      </w:r>
      <w:r>
        <w:rPr>
          <w:sz w:val="18"/>
          <w:szCs w:val="18"/>
          <w:lang w:val="nl-BE"/>
        </w:rPr>
        <w:t>t</w:t>
      </w:r>
      <w:r w:rsidRPr="00EC1E42">
        <w:rPr>
          <w:sz w:val="18"/>
          <w:szCs w:val="18"/>
          <w:lang w:val="nl-BE"/>
        </w:rPr>
        <w:t xml:space="preserve"> - a</w:t>
      </w:r>
      <w:r>
        <w:rPr>
          <w:sz w:val="18"/>
          <w:szCs w:val="18"/>
          <w:lang w:val="nl-BE"/>
        </w:rPr>
        <w:t>p</w:t>
      </w:r>
      <w:r w:rsidRPr="00EC1E42">
        <w:rPr>
          <w:sz w:val="18"/>
          <w:szCs w:val="18"/>
          <w:lang w:val="nl-BE"/>
        </w:rPr>
        <w:t>ril 1988, p. 133.</w:t>
      </w:r>
    </w:p>
    <w:p w14:paraId="004F4B2A" w14:textId="4E3F918E" w:rsidR="008A157B" w:rsidRPr="00EC1E42" w:rsidRDefault="008A157B" w:rsidP="008A157B">
      <w:pPr>
        <w:pStyle w:val="FootnoteText"/>
        <w:numPr>
          <w:ilvl w:val="0"/>
          <w:numId w:val="39"/>
        </w:numPr>
        <w:jc w:val="both"/>
        <w:rPr>
          <w:sz w:val="18"/>
          <w:szCs w:val="18"/>
          <w:lang w:val="nl-BE"/>
        </w:rPr>
      </w:pPr>
      <w:r>
        <w:rPr>
          <w:sz w:val="18"/>
          <w:szCs w:val="18"/>
          <w:lang w:val="nl-BE"/>
        </w:rPr>
        <w:t xml:space="preserve">De slotverklaring van de Internationale Conferentie voor de bescherming van oorlogsslachtoffers </w:t>
      </w:r>
      <w:r w:rsidRPr="00EC1E42">
        <w:rPr>
          <w:sz w:val="18"/>
          <w:szCs w:val="18"/>
          <w:lang w:val="nl-BE"/>
        </w:rPr>
        <w:t xml:space="preserve">(Genève, 30 </w:t>
      </w:r>
      <w:r>
        <w:rPr>
          <w:sz w:val="18"/>
          <w:szCs w:val="18"/>
          <w:lang w:val="nl-BE"/>
        </w:rPr>
        <w:t>augustus</w:t>
      </w:r>
      <w:r w:rsidRPr="00EC1E42">
        <w:rPr>
          <w:sz w:val="18"/>
          <w:szCs w:val="18"/>
          <w:lang w:val="nl-BE"/>
        </w:rPr>
        <w:t xml:space="preserve"> - 1 septemb</w:t>
      </w:r>
      <w:r>
        <w:rPr>
          <w:sz w:val="18"/>
          <w:szCs w:val="18"/>
          <w:lang w:val="nl-BE"/>
        </w:rPr>
        <w:t>e</w:t>
      </w:r>
      <w:r w:rsidRPr="00EC1E42">
        <w:rPr>
          <w:sz w:val="18"/>
          <w:szCs w:val="18"/>
          <w:lang w:val="nl-BE"/>
        </w:rPr>
        <w:t>r</w:t>
      </w:r>
      <w:r>
        <w:rPr>
          <w:sz w:val="18"/>
          <w:szCs w:val="18"/>
          <w:lang w:val="nl-BE"/>
        </w:rPr>
        <w:t xml:space="preserve"> 1993)</w:t>
      </w:r>
      <w:r w:rsidRPr="00EC1E42">
        <w:rPr>
          <w:sz w:val="18"/>
          <w:szCs w:val="18"/>
          <w:lang w:val="nl-BE"/>
        </w:rPr>
        <w:t>, p</w:t>
      </w:r>
      <w:r>
        <w:rPr>
          <w:sz w:val="18"/>
          <w:szCs w:val="18"/>
          <w:lang w:val="nl-BE"/>
        </w:rPr>
        <w:t>u</w:t>
      </w:r>
      <w:r w:rsidRPr="00EC1E42">
        <w:rPr>
          <w:sz w:val="18"/>
          <w:szCs w:val="18"/>
          <w:lang w:val="nl-BE"/>
        </w:rPr>
        <w:t>nt II, 5 e</w:t>
      </w:r>
      <w:r>
        <w:rPr>
          <w:sz w:val="18"/>
          <w:szCs w:val="18"/>
          <w:lang w:val="nl-BE"/>
        </w:rPr>
        <w:t xml:space="preserve">n aanbeveling </w:t>
      </w:r>
      <w:r w:rsidRPr="00EC1E42">
        <w:rPr>
          <w:sz w:val="18"/>
          <w:szCs w:val="18"/>
          <w:lang w:val="nl-BE"/>
        </w:rPr>
        <w:t>V</w:t>
      </w:r>
      <w:r>
        <w:rPr>
          <w:sz w:val="18"/>
          <w:szCs w:val="18"/>
          <w:lang w:val="nl-BE"/>
        </w:rPr>
        <w:t xml:space="preserve"> van de intergouvernementele expertengroep voor de bescherming van oorlogsslachtoffers</w:t>
      </w:r>
      <w:r w:rsidRPr="00EC1E42">
        <w:rPr>
          <w:sz w:val="18"/>
          <w:szCs w:val="18"/>
          <w:lang w:val="nl-BE"/>
        </w:rPr>
        <w:t>,</w:t>
      </w:r>
      <w:r>
        <w:rPr>
          <w:sz w:val="18"/>
          <w:szCs w:val="18"/>
          <w:lang w:val="nl-BE"/>
        </w:rPr>
        <w:t xml:space="preserve"> gepubliceerd in de</w:t>
      </w:r>
      <w:r w:rsidRPr="00EC1E42">
        <w:rPr>
          <w:sz w:val="18"/>
          <w:szCs w:val="18"/>
          <w:lang w:val="nl-BE"/>
        </w:rPr>
        <w:t xml:space="preserve"> RICR, n</w:t>
      </w:r>
      <w:r>
        <w:rPr>
          <w:sz w:val="18"/>
          <w:szCs w:val="18"/>
          <w:lang w:val="nl-BE"/>
        </w:rPr>
        <w:t xml:space="preserve">r. </w:t>
      </w:r>
      <w:r w:rsidRPr="00EC1E42">
        <w:rPr>
          <w:sz w:val="18"/>
          <w:szCs w:val="18"/>
          <w:lang w:val="nl-BE"/>
        </w:rPr>
        <w:t>817, jan</w:t>
      </w:r>
      <w:r>
        <w:rPr>
          <w:sz w:val="18"/>
          <w:szCs w:val="18"/>
          <w:lang w:val="nl-BE"/>
        </w:rPr>
        <w:t xml:space="preserve">uari – februari </w:t>
      </w:r>
      <w:r w:rsidRPr="00EC1E42">
        <w:rPr>
          <w:sz w:val="18"/>
          <w:szCs w:val="18"/>
          <w:lang w:val="nl-BE"/>
        </w:rPr>
        <w:t>1996, pp. 85 e</w:t>
      </w:r>
      <w:r>
        <w:rPr>
          <w:sz w:val="18"/>
          <w:szCs w:val="18"/>
          <w:lang w:val="nl-BE"/>
        </w:rPr>
        <w:t>n</w:t>
      </w:r>
      <w:r w:rsidRPr="00EC1E42">
        <w:rPr>
          <w:sz w:val="18"/>
          <w:szCs w:val="18"/>
          <w:lang w:val="nl-BE"/>
        </w:rPr>
        <w:t xml:space="preserve"> 91,</w:t>
      </w:r>
      <w:r>
        <w:rPr>
          <w:sz w:val="18"/>
          <w:szCs w:val="18"/>
          <w:lang w:val="nl-BE"/>
        </w:rPr>
        <w:t xml:space="preserve"> en het verslag van de Conferentie voorgesteld door het ICRK (</w:t>
      </w:r>
      <w:r w:rsidRPr="0060006B">
        <w:rPr>
          <w:sz w:val="18"/>
          <w:szCs w:val="18"/>
          <w:lang w:val="nl-BE"/>
        </w:rPr>
        <w:t>punten 2.</w:t>
      </w:r>
      <w:r w:rsidRPr="00EC1E42">
        <w:rPr>
          <w:sz w:val="18"/>
          <w:szCs w:val="18"/>
          <w:lang w:val="nl-BE"/>
        </w:rPr>
        <w:t>2 e</w:t>
      </w:r>
      <w:r>
        <w:rPr>
          <w:sz w:val="18"/>
          <w:szCs w:val="18"/>
          <w:lang w:val="nl-BE"/>
        </w:rPr>
        <w:t>n</w:t>
      </w:r>
      <w:r w:rsidRPr="00EC1E42">
        <w:rPr>
          <w:sz w:val="18"/>
          <w:szCs w:val="18"/>
          <w:lang w:val="nl-BE"/>
        </w:rPr>
        <w:t xml:space="preserve"> 5.1.2).</w:t>
      </w:r>
    </w:p>
    <w:p w14:paraId="7D034872" w14:textId="77777777" w:rsidR="008A157B" w:rsidRPr="00EC1E42" w:rsidRDefault="008A157B" w:rsidP="008A157B">
      <w:pPr>
        <w:pStyle w:val="FootnoteText"/>
        <w:numPr>
          <w:ilvl w:val="0"/>
          <w:numId w:val="39"/>
        </w:numPr>
        <w:jc w:val="both"/>
        <w:rPr>
          <w:sz w:val="18"/>
          <w:szCs w:val="18"/>
          <w:lang w:val="nl-BE"/>
        </w:rPr>
      </w:pPr>
      <w:r>
        <w:rPr>
          <w:sz w:val="18"/>
          <w:szCs w:val="18"/>
          <w:lang w:val="nl-BE"/>
        </w:rPr>
        <w:t xml:space="preserve">Het verslag van </w:t>
      </w:r>
      <w:r w:rsidRPr="00EC1E42">
        <w:rPr>
          <w:sz w:val="18"/>
          <w:szCs w:val="18"/>
          <w:lang w:val="nl-BE"/>
        </w:rPr>
        <w:t>Commissi</w:t>
      </w:r>
      <w:r>
        <w:rPr>
          <w:sz w:val="18"/>
          <w:szCs w:val="18"/>
          <w:lang w:val="nl-BE"/>
        </w:rPr>
        <w:t>e</w:t>
      </w:r>
      <w:r w:rsidRPr="00EC1E42">
        <w:rPr>
          <w:sz w:val="18"/>
          <w:szCs w:val="18"/>
          <w:lang w:val="nl-BE"/>
        </w:rPr>
        <w:t xml:space="preserve"> I, p</w:t>
      </w:r>
      <w:r>
        <w:rPr>
          <w:sz w:val="18"/>
          <w:szCs w:val="18"/>
          <w:lang w:val="nl-BE"/>
        </w:rPr>
        <w:t>u</w:t>
      </w:r>
      <w:r w:rsidRPr="00EC1E42">
        <w:rPr>
          <w:sz w:val="18"/>
          <w:szCs w:val="18"/>
          <w:lang w:val="nl-BE"/>
        </w:rPr>
        <w:t>nt IV, A, b, e</w:t>
      </w:r>
      <w:r>
        <w:rPr>
          <w:sz w:val="18"/>
          <w:szCs w:val="18"/>
          <w:lang w:val="nl-BE"/>
        </w:rPr>
        <w:t>n resolutie</w:t>
      </w:r>
      <w:r w:rsidRPr="00EC1E42">
        <w:rPr>
          <w:sz w:val="18"/>
          <w:szCs w:val="18"/>
          <w:lang w:val="nl-BE"/>
        </w:rPr>
        <w:t xml:space="preserve"> 1</w:t>
      </w:r>
      <w:r>
        <w:rPr>
          <w:sz w:val="18"/>
          <w:szCs w:val="18"/>
          <w:lang w:val="nl-BE"/>
        </w:rPr>
        <w:t xml:space="preserve"> van de </w:t>
      </w:r>
      <w:r w:rsidRPr="00EC1E42">
        <w:rPr>
          <w:sz w:val="18"/>
          <w:szCs w:val="18"/>
          <w:lang w:val="nl-BE"/>
        </w:rPr>
        <w:t>XXVI</w:t>
      </w:r>
      <w:r w:rsidRPr="0073439F">
        <w:rPr>
          <w:sz w:val="18"/>
          <w:szCs w:val="18"/>
          <w:vertAlign w:val="superscript"/>
          <w:lang w:val="nl-BE"/>
        </w:rPr>
        <w:t>ste</w:t>
      </w:r>
      <w:r w:rsidRPr="00EC1E42">
        <w:rPr>
          <w:sz w:val="18"/>
          <w:szCs w:val="18"/>
          <w:lang w:val="nl-BE"/>
        </w:rPr>
        <w:t xml:space="preserve"> </w:t>
      </w:r>
      <w:r>
        <w:rPr>
          <w:sz w:val="18"/>
          <w:szCs w:val="18"/>
          <w:lang w:val="nl-BE"/>
        </w:rPr>
        <w:t xml:space="preserve">Internationale Conferentie van het Rode Kruis en de Rode Halve Maan </w:t>
      </w:r>
      <w:r w:rsidRPr="00EC1E42">
        <w:rPr>
          <w:sz w:val="18"/>
          <w:szCs w:val="18"/>
          <w:lang w:val="nl-BE"/>
        </w:rPr>
        <w:t>(Genève, 3 - 7 d</w:t>
      </w:r>
      <w:r>
        <w:rPr>
          <w:sz w:val="18"/>
          <w:szCs w:val="18"/>
          <w:lang w:val="nl-BE"/>
        </w:rPr>
        <w:t>e</w:t>
      </w:r>
      <w:r w:rsidRPr="00EC1E42">
        <w:rPr>
          <w:sz w:val="18"/>
          <w:szCs w:val="18"/>
          <w:lang w:val="nl-BE"/>
        </w:rPr>
        <w:t>cemb</w:t>
      </w:r>
      <w:r>
        <w:rPr>
          <w:sz w:val="18"/>
          <w:szCs w:val="18"/>
          <w:lang w:val="nl-BE"/>
        </w:rPr>
        <w:t>e</w:t>
      </w:r>
      <w:r w:rsidRPr="00EC1E42">
        <w:rPr>
          <w:sz w:val="18"/>
          <w:szCs w:val="18"/>
          <w:lang w:val="nl-BE"/>
        </w:rPr>
        <w:t>r 1995),</w:t>
      </w:r>
      <w:r>
        <w:rPr>
          <w:sz w:val="18"/>
          <w:szCs w:val="18"/>
          <w:lang w:val="nl-BE"/>
        </w:rPr>
        <w:t xml:space="preserve"> gepubliceerd in de</w:t>
      </w:r>
      <w:r w:rsidRPr="00EC1E42">
        <w:rPr>
          <w:sz w:val="18"/>
          <w:szCs w:val="18"/>
          <w:lang w:val="nl-BE"/>
        </w:rPr>
        <w:t xml:space="preserve"> RICR, n</w:t>
      </w:r>
      <w:r>
        <w:rPr>
          <w:sz w:val="18"/>
          <w:szCs w:val="18"/>
          <w:lang w:val="nl-BE"/>
        </w:rPr>
        <w:t>r.</w:t>
      </w:r>
      <w:r w:rsidRPr="00EC1E42">
        <w:rPr>
          <w:sz w:val="18"/>
          <w:szCs w:val="18"/>
          <w:lang w:val="nl-BE"/>
        </w:rPr>
        <w:t xml:space="preserve"> 817, jan</w:t>
      </w:r>
      <w:r>
        <w:rPr>
          <w:sz w:val="18"/>
          <w:szCs w:val="18"/>
          <w:lang w:val="nl-BE"/>
        </w:rPr>
        <w:t xml:space="preserve">uari – februari </w:t>
      </w:r>
      <w:r w:rsidRPr="00EC1E42">
        <w:rPr>
          <w:sz w:val="18"/>
          <w:szCs w:val="18"/>
          <w:lang w:val="nl-BE"/>
        </w:rPr>
        <w:t>1996, pp. 60-61.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5F9C" w14:textId="695482FE" w:rsidR="00A53327" w:rsidRDefault="00A53327">
    <w:pPr>
      <w:pStyle w:val="Header"/>
      <w:framePr w:wrap="around" w:vAnchor="text" w:hAnchor="margin" w:xAlign="right" w:y="1"/>
      <w:jc w:val="center"/>
      <w:rPr>
        <w:rStyle w:val="PageNumber"/>
        <w:rFonts w:ascii="Arial Unicode MS" w:eastAsia="Arial Unicode MS" w:hAnsi="Arial Unicode MS" w:cs="Arial Unicode MS"/>
        <w:color w:val="000000"/>
        <w:sz w:val="17"/>
        <w:lang w:val="fr-BE"/>
      </w:rPr>
    </w:pPr>
    <w:bookmarkStart w:id="33" w:name="aliashStandardlabeling1r1HeaderEvenPages"/>
    <w:r w:rsidRPr="00232390">
      <w:rPr>
        <w:rStyle w:val="PageNumber"/>
        <w:rFonts w:ascii="Arial Unicode MS" w:eastAsia="Arial Unicode MS" w:hAnsi="Arial Unicode MS" w:cs="Arial Unicode MS"/>
        <w:color w:val="000000"/>
        <w:sz w:val="17"/>
        <w:lang w:val="fr-BE"/>
      </w:rPr>
      <w:t>USAGE INTERNE - N5 - INTERN GEBRUIK</w:t>
    </w:r>
  </w:p>
  <w:bookmarkEnd w:id="33"/>
  <w:p w14:paraId="26433C22" w14:textId="77777777" w:rsidR="00A53327" w:rsidRPr="00232390" w:rsidRDefault="00A53327">
    <w:pPr>
      <w:pStyle w:val="Header"/>
      <w:framePr w:wrap="around" w:vAnchor="text" w:hAnchor="margin" w:xAlign="right" w:y="1"/>
      <w:rPr>
        <w:rStyle w:val="PageNumber"/>
        <w:lang w:val="fr-BE"/>
      </w:rPr>
    </w:pPr>
  </w:p>
  <w:p w14:paraId="59D01872" w14:textId="77777777" w:rsidR="00A53327" w:rsidRPr="00232390" w:rsidRDefault="00A53327">
    <w:pPr>
      <w:pStyle w:val="Koptekst1"/>
      <w:pBdr>
        <w:bottom w:val="single" w:sz="6" w:space="1" w:color="auto"/>
      </w:pBdr>
      <w:ind w:right="360"/>
      <w:rPr>
        <w:b/>
        <w:lang w:val="fr-BE"/>
      </w:rPr>
    </w:pPr>
    <w:r w:rsidRPr="00232390">
      <w:rPr>
        <w:b/>
        <w:lang w:val="fr-BE"/>
      </w:rPr>
      <w:t>Commission interministérielle de droit humanitaire</w:t>
    </w:r>
  </w:p>
  <w:p w14:paraId="1F46B9C3" w14:textId="77777777" w:rsidR="00A53327" w:rsidRPr="00232390" w:rsidRDefault="00A53327">
    <w:pPr>
      <w:pStyle w:val="Koptekst1"/>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05823" w14:textId="6988E52B" w:rsidR="00A53327" w:rsidRPr="006B5282" w:rsidRDefault="00A53327" w:rsidP="002E1D3E">
    <w:pPr>
      <w:pStyle w:val="Header"/>
      <w:framePr w:wrap="around" w:vAnchor="text" w:hAnchor="margin" w:xAlign="right" w:y="1"/>
      <w:jc w:val="center"/>
      <w:rPr>
        <w:rStyle w:val="PageNumber"/>
        <w:rFonts w:ascii="Arial Unicode MS" w:eastAsia="Arial Unicode MS" w:hAnsi="Arial Unicode MS" w:cs="Arial Unicode MS"/>
        <w:color w:val="000000"/>
        <w:sz w:val="17"/>
        <w:lang w:val="nl-BE"/>
      </w:rPr>
    </w:pPr>
    <w:bookmarkStart w:id="34" w:name="aliashStandardlabeling1reg1HeaderPrimary"/>
    <w:r w:rsidRPr="006B5282">
      <w:rPr>
        <w:rStyle w:val="PageNumber"/>
        <w:rFonts w:ascii="Arial Unicode MS" w:eastAsia="Arial Unicode MS" w:hAnsi="Arial Unicode MS" w:cs="Arial Unicode MS"/>
        <w:color w:val="000000"/>
        <w:sz w:val="17"/>
        <w:lang w:val="nl-BE"/>
      </w:rPr>
      <w:t>INTERN GEBRUIK - N5 - USAGE INTERNE</w:t>
    </w:r>
  </w:p>
  <w:bookmarkEnd w:id="34"/>
  <w:p w14:paraId="62633750" w14:textId="77777777" w:rsidR="00A53327" w:rsidRPr="006B5282" w:rsidRDefault="00A53327">
    <w:pPr>
      <w:pStyle w:val="Header"/>
      <w:framePr w:wrap="around" w:vAnchor="text" w:hAnchor="margin" w:xAlign="right" w:y="1"/>
      <w:rPr>
        <w:rStyle w:val="PageNumber"/>
        <w:lang w:val="nl-BE"/>
      </w:rPr>
    </w:pPr>
  </w:p>
  <w:p w14:paraId="3A6DA9F4" w14:textId="48B23B12" w:rsidR="00A53327" w:rsidRPr="006B5282" w:rsidRDefault="00A53327">
    <w:pPr>
      <w:pStyle w:val="Koptekst1"/>
      <w:pBdr>
        <w:bottom w:val="single" w:sz="6" w:space="1" w:color="auto"/>
      </w:pBdr>
      <w:ind w:right="360"/>
      <w:rPr>
        <w:b/>
        <w:lang w:val="nl-BE"/>
      </w:rPr>
    </w:pPr>
    <w:r w:rsidRPr="006B5282">
      <w:rPr>
        <w:b/>
        <w:lang w:val="nl-BE"/>
      </w:rPr>
      <w:t xml:space="preserve">Nationale </w:t>
    </w:r>
    <w:r w:rsidR="006B5282" w:rsidRPr="006B5282">
      <w:rPr>
        <w:b/>
        <w:lang w:val="nl-BE"/>
      </w:rPr>
      <w:t>uitvoerings</w:t>
    </w:r>
    <w:r w:rsidRPr="006B5282">
      <w:rPr>
        <w:b/>
        <w:lang w:val="nl-BE"/>
      </w:rPr>
      <w:t>maatregelen</w:t>
    </w:r>
  </w:p>
  <w:p w14:paraId="1C1DCDE9" w14:textId="77777777" w:rsidR="00A53327" w:rsidRPr="006B5282" w:rsidRDefault="00A53327">
    <w:pPr>
      <w:pStyle w:val="Koptekst1"/>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318C" w14:textId="0CCF6350" w:rsidR="00A53327" w:rsidRDefault="00A53327">
    <w:pPr>
      <w:pStyle w:val="Koptekst1"/>
      <w:pBdr>
        <w:bottom w:val="single" w:sz="6" w:space="1" w:color="auto"/>
      </w:pBdr>
      <w:jc w:val="center"/>
      <w:rPr>
        <w:rFonts w:ascii="Arial Unicode MS" w:eastAsia="Arial Unicode MS" w:hAnsi="Arial Unicode MS" w:cs="Arial Unicode MS"/>
        <w:color w:val="000000"/>
        <w:sz w:val="17"/>
        <w:lang w:val="fr-BE"/>
      </w:rPr>
    </w:pPr>
    <w:bookmarkStart w:id="35" w:name="aliashStandardlabeling1r1HeaderFirstPage"/>
    <w:r w:rsidRPr="00232390">
      <w:rPr>
        <w:rFonts w:ascii="Arial Unicode MS" w:eastAsia="Arial Unicode MS" w:hAnsi="Arial Unicode MS" w:cs="Arial Unicode MS"/>
        <w:color w:val="000000"/>
        <w:sz w:val="17"/>
        <w:lang w:val="fr-BE"/>
      </w:rPr>
      <w:t>USAGE INTERNE - N5 - INTERN GEBRUIK</w:t>
    </w:r>
  </w:p>
  <w:bookmarkEnd w:id="35"/>
  <w:p w14:paraId="2C28942A" w14:textId="7C66BCFD" w:rsidR="00A53327" w:rsidRPr="00232390" w:rsidRDefault="00A53327">
    <w:pPr>
      <w:pStyle w:val="Koptekst1"/>
      <w:pBdr>
        <w:bottom w:val="single" w:sz="6" w:space="1" w:color="auto"/>
      </w:pBdr>
      <w:jc w:val="right"/>
      <w:rPr>
        <w:b/>
        <w:lang w:val="fr-BE"/>
      </w:rPr>
    </w:pPr>
    <w:r w:rsidRPr="00232390">
      <w:rPr>
        <w:b/>
        <w:lang w:val="fr-BE"/>
      </w:rPr>
      <w:t>Commission Interdépartementale de Droit Humanitaire</w:t>
    </w:r>
  </w:p>
  <w:p w14:paraId="2BC8D16C" w14:textId="77777777" w:rsidR="00A53327" w:rsidRPr="00232390" w:rsidRDefault="00A53327">
    <w:pPr>
      <w:pStyle w:val="Koptekst1"/>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353"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B6425F"/>
    <w:multiLevelType w:val="hybridMultilevel"/>
    <w:tmpl w:val="6464EAC4"/>
    <w:lvl w:ilvl="0" w:tplc="9A12476C">
      <w:start w:val="3"/>
      <w:numFmt w:val="bullet"/>
      <w:lvlText w:val="-"/>
      <w:lvlJc w:val="left"/>
      <w:pPr>
        <w:ind w:left="2484" w:hanging="360"/>
      </w:pPr>
      <w:rPr>
        <w:rFonts w:ascii="Times New Roman" w:eastAsia="Times New Roman" w:hAnsi="Times New Roman"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4" w15:restartNumberingAfterBreak="0">
    <w:nsid w:val="044E46E1"/>
    <w:multiLevelType w:val="hybridMultilevel"/>
    <w:tmpl w:val="EDA2F01C"/>
    <w:lvl w:ilvl="0" w:tplc="DEAE6F08">
      <w:start w:val="2000"/>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5" w15:restartNumberingAfterBreak="0">
    <w:nsid w:val="072E31A5"/>
    <w:multiLevelType w:val="hybridMultilevel"/>
    <w:tmpl w:val="A89AA1FA"/>
    <w:lvl w:ilvl="0" w:tplc="100C000B">
      <w:start w:val="1"/>
      <w:numFmt w:val="bullet"/>
      <w:lvlText w:val=""/>
      <w:lvlJc w:val="left"/>
      <w:pPr>
        <w:tabs>
          <w:tab w:val="num" w:pos="2880"/>
        </w:tabs>
        <w:ind w:left="2880" w:hanging="360"/>
      </w:pPr>
      <w:rPr>
        <w:rFonts w:ascii="Wingdings" w:hAnsi="Wingdings" w:hint="default"/>
      </w:rPr>
    </w:lvl>
    <w:lvl w:ilvl="1" w:tplc="100C0003" w:tentative="1">
      <w:start w:val="1"/>
      <w:numFmt w:val="bullet"/>
      <w:lvlText w:val="o"/>
      <w:lvlJc w:val="left"/>
      <w:pPr>
        <w:tabs>
          <w:tab w:val="num" w:pos="3600"/>
        </w:tabs>
        <w:ind w:left="3600" w:hanging="360"/>
      </w:pPr>
      <w:rPr>
        <w:rFonts w:ascii="Courier New" w:hAnsi="Courier New" w:cs="Courier New" w:hint="default"/>
      </w:rPr>
    </w:lvl>
    <w:lvl w:ilvl="2" w:tplc="100C0005" w:tentative="1">
      <w:start w:val="1"/>
      <w:numFmt w:val="bullet"/>
      <w:lvlText w:val=""/>
      <w:lvlJc w:val="left"/>
      <w:pPr>
        <w:tabs>
          <w:tab w:val="num" w:pos="4320"/>
        </w:tabs>
        <w:ind w:left="4320" w:hanging="360"/>
      </w:pPr>
      <w:rPr>
        <w:rFonts w:ascii="Wingdings" w:hAnsi="Wingdings" w:hint="default"/>
      </w:rPr>
    </w:lvl>
    <w:lvl w:ilvl="3" w:tplc="100C0001" w:tentative="1">
      <w:start w:val="1"/>
      <w:numFmt w:val="bullet"/>
      <w:lvlText w:val=""/>
      <w:lvlJc w:val="left"/>
      <w:pPr>
        <w:tabs>
          <w:tab w:val="num" w:pos="5040"/>
        </w:tabs>
        <w:ind w:left="5040" w:hanging="360"/>
      </w:pPr>
      <w:rPr>
        <w:rFonts w:ascii="Symbol" w:hAnsi="Symbol" w:hint="default"/>
      </w:rPr>
    </w:lvl>
    <w:lvl w:ilvl="4" w:tplc="100C0003" w:tentative="1">
      <w:start w:val="1"/>
      <w:numFmt w:val="bullet"/>
      <w:lvlText w:val="o"/>
      <w:lvlJc w:val="left"/>
      <w:pPr>
        <w:tabs>
          <w:tab w:val="num" w:pos="5760"/>
        </w:tabs>
        <w:ind w:left="5760" w:hanging="360"/>
      </w:pPr>
      <w:rPr>
        <w:rFonts w:ascii="Courier New" w:hAnsi="Courier New" w:cs="Courier New" w:hint="default"/>
      </w:rPr>
    </w:lvl>
    <w:lvl w:ilvl="5" w:tplc="100C0005" w:tentative="1">
      <w:start w:val="1"/>
      <w:numFmt w:val="bullet"/>
      <w:lvlText w:val=""/>
      <w:lvlJc w:val="left"/>
      <w:pPr>
        <w:tabs>
          <w:tab w:val="num" w:pos="6480"/>
        </w:tabs>
        <w:ind w:left="6480" w:hanging="360"/>
      </w:pPr>
      <w:rPr>
        <w:rFonts w:ascii="Wingdings" w:hAnsi="Wingdings" w:hint="default"/>
      </w:rPr>
    </w:lvl>
    <w:lvl w:ilvl="6" w:tplc="100C0001" w:tentative="1">
      <w:start w:val="1"/>
      <w:numFmt w:val="bullet"/>
      <w:lvlText w:val=""/>
      <w:lvlJc w:val="left"/>
      <w:pPr>
        <w:tabs>
          <w:tab w:val="num" w:pos="7200"/>
        </w:tabs>
        <w:ind w:left="7200" w:hanging="360"/>
      </w:pPr>
      <w:rPr>
        <w:rFonts w:ascii="Symbol" w:hAnsi="Symbol" w:hint="default"/>
      </w:rPr>
    </w:lvl>
    <w:lvl w:ilvl="7" w:tplc="100C0003" w:tentative="1">
      <w:start w:val="1"/>
      <w:numFmt w:val="bullet"/>
      <w:lvlText w:val="o"/>
      <w:lvlJc w:val="left"/>
      <w:pPr>
        <w:tabs>
          <w:tab w:val="num" w:pos="7920"/>
        </w:tabs>
        <w:ind w:left="7920" w:hanging="360"/>
      </w:pPr>
      <w:rPr>
        <w:rFonts w:ascii="Courier New" w:hAnsi="Courier New" w:cs="Courier New" w:hint="default"/>
      </w:rPr>
    </w:lvl>
    <w:lvl w:ilvl="8" w:tplc="100C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ACB2F5A"/>
    <w:multiLevelType w:val="singleLevel"/>
    <w:tmpl w:val="A07EB11E"/>
    <w:lvl w:ilvl="0">
      <w:start w:val="2"/>
      <w:numFmt w:val="bullet"/>
      <w:lvlText w:val="-"/>
      <w:lvlJc w:val="left"/>
      <w:pPr>
        <w:tabs>
          <w:tab w:val="num" w:pos="2622"/>
        </w:tabs>
        <w:ind w:left="2622" w:hanging="360"/>
      </w:pPr>
      <w:rPr>
        <w:rFonts w:hint="default"/>
      </w:rPr>
    </w:lvl>
  </w:abstractNum>
  <w:abstractNum w:abstractNumId="7" w15:restartNumberingAfterBreak="0">
    <w:nsid w:val="0B515B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D053033"/>
    <w:multiLevelType w:val="hybridMultilevel"/>
    <w:tmpl w:val="A014AC4E"/>
    <w:lvl w:ilvl="0" w:tplc="6CE89908">
      <w:start w:val="2000"/>
      <w:numFmt w:val="bullet"/>
      <w:lvlText w:val="-"/>
      <w:lvlJc w:val="left"/>
      <w:pPr>
        <w:ind w:left="1776" w:hanging="360"/>
      </w:pPr>
      <w:rPr>
        <w:rFonts w:ascii="Times New Roman" w:eastAsia="Times New Roman" w:hAnsi="Times New Roman" w:cs="Times New Roman" w:hint="default"/>
      </w:rPr>
    </w:lvl>
    <w:lvl w:ilvl="1" w:tplc="C71C077A">
      <w:start w:val="2"/>
      <w:numFmt w:val="bullet"/>
      <w:lvlText w:val="-"/>
      <w:lvlJc w:val="left"/>
      <w:pPr>
        <w:ind w:left="2496" w:hanging="360"/>
      </w:pPr>
      <w:rPr>
        <w:rFonts w:ascii="Times New Roman" w:eastAsia="Times New Roman" w:hAnsi="Times New Roman" w:cs="Times New Roman"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9" w15:restartNumberingAfterBreak="0">
    <w:nsid w:val="0E370DBA"/>
    <w:multiLevelType w:val="hybridMultilevel"/>
    <w:tmpl w:val="F9167696"/>
    <w:lvl w:ilvl="0" w:tplc="7156768A">
      <w:start w:val="1"/>
      <w:numFmt w:val="decimal"/>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0" w15:restartNumberingAfterBreak="0">
    <w:nsid w:val="11A8169C"/>
    <w:multiLevelType w:val="hybridMultilevel"/>
    <w:tmpl w:val="F2CE51FA"/>
    <w:lvl w:ilvl="0" w:tplc="6708FDAA">
      <w:start w:val="2000"/>
      <w:numFmt w:val="bullet"/>
      <w:lvlText w:val="-"/>
      <w:lvlJc w:val="left"/>
      <w:pPr>
        <w:ind w:left="1778" w:hanging="360"/>
      </w:pPr>
      <w:rPr>
        <w:rFonts w:ascii="Times New Roman" w:eastAsia="Times New Roman" w:hAnsi="Times New Roman" w:cs="Times New Roman" w:hint="default"/>
      </w:rPr>
    </w:lvl>
    <w:lvl w:ilvl="1" w:tplc="080C0003" w:tentative="1">
      <w:start w:val="1"/>
      <w:numFmt w:val="bullet"/>
      <w:lvlText w:val="o"/>
      <w:lvlJc w:val="left"/>
      <w:pPr>
        <w:ind w:left="2498" w:hanging="360"/>
      </w:pPr>
      <w:rPr>
        <w:rFonts w:ascii="Courier New" w:hAnsi="Courier New" w:cs="Courier New" w:hint="default"/>
      </w:rPr>
    </w:lvl>
    <w:lvl w:ilvl="2" w:tplc="080C0005" w:tentative="1">
      <w:start w:val="1"/>
      <w:numFmt w:val="bullet"/>
      <w:lvlText w:val=""/>
      <w:lvlJc w:val="left"/>
      <w:pPr>
        <w:ind w:left="3218" w:hanging="360"/>
      </w:pPr>
      <w:rPr>
        <w:rFonts w:ascii="Wingdings" w:hAnsi="Wingdings" w:hint="default"/>
      </w:rPr>
    </w:lvl>
    <w:lvl w:ilvl="3" w:tplc="080C0001" w:tentative="1">
      <w:start w:val="1"/>
      <w:numFmt w:val="bullet"/>
      <w:lvlText w:val=""/>
      <w:lvlJc w:val="left"/>
      <w:pPr>
        <w:ind w:left="3938" w:hanging="360"/>
      </w:pPr>
      <w:rPr>
        <w:rFonts w:ascii="Symbol" w:hAnsi="Symbol" w:hint="default"/>
      </w:rPr>
    </w:lvl>
    <w:lvl w:ilvl="4" w:tplc="080C0003" w:tentative="1">
      <w:start w:val="1"/>
      <w:numFmt w:val="bullet"/>
      <w:lvlText w:val="o"/>
      <w:lvlJc w:val="left"/>
      <w:pPr>
        <w:ind w:left="4658" w:hanging="360"/>
      </w:pPr>
      <w:rPr>
        <w:rFonts w:ascii="Courier New" w:hAnsi="Courier New" w:cs="Courier New" w:hint="default"/>
      </w:rPr>
    </w:lvl>
    <w:lvl w:ilvl="5" w:tplc="080C0005" w:tentative="1">
      <w:start w:val="1"/>
      <w:numFmt w:val="bullet"/>
      <w:lvlText w:val=""/>
      <w:lvlJc w:val="left"/>
      <w:pPr>
        <w:ind w:left="5378" w:hanging="360"/>
      </w:pPr>
      <w:rPr>
        <w:rFonts w:ascii="Wingdings" w:hAnsi="Wingdings" w:hint="default"/>
      </w:rPr>
    </w:lvl>
    <w:lvl w:ilvl="6" w:tplc="080C0001" w:tentative="1">
      <w:start w:val="1"/>
      <w:numFmt w:val="bullet"/>
      <w:lvlText w:val=""/>
      <w:lvlJc w:val="left"/>
      <w:pPr>
        <w:ind w:left="6098" w:hanging="360"/>
      </w:pPr>
      <w:rPr>
        <w:rFonts w:ascii="Symbol" w:hAnsi="Symbol" w:hint="default"/>
      </w:rPr>
    </w:lvl>
    <w:lvl w:ilvl="7" w:tplc="080C0003" w:tentative="1">
      <w:start w:val="1"/>
      <w:numFmt w:val="bullet"/>
      <w:lvlText w:val="o"/>
      <w:lvlJc w:val="left"/>
      <w:pPr>
        <w:ind w:left="6818" w:hanging="360"/>
      </w:pPr>
      <w:rPr>
        <w:rFonts w:ascii="Courier New" w:hAnsi="Courier New" w:cs="Courier New" w:hint="default"/>
      </w:rPr>
    </w:lvl>
    <w:lvl w:ilvl="8" w:tplc="080C0005" w:tentative="1">
      <w:start w:val="1"/>
      <w:numFmt w:val="bullet"/>
      <w:lvlText w:val=""/>
      <w:lvlJc w:val="left"/>
      <w:pPr>
        <w:ind w:left="7538" w:hanging="360"/>
      </w:pPr>
      <w:rPr>
        <w:rFonts w:ascii="Wingdings" w:hAnsi="Wingdings" w:hint="default"/>
      </w:rPr>
    </w:lvl>
  </w:abstractNum>
  <w:abstractNum w:abstractNumId="11" w15:restartNumberingAfterBreak="0">
    <w:nsid w:val="13AA234E"/>
    <w:multiLevelType w:val="singleLevel"/>
    <w:tmpl w:val="341809DE"/>
    <w:lvl w:ilvl="0">
      <w:start w:val="1"/>
      <w:numFmt w:val="upperLetter"/>
      <w:lvlText w:val="%1."/>
      <w:lvlJc w:val="left"/>
      <w:pPr>
        <w:tabs>
          <w:tab w:val="num" w:pos="1065"/>
        </w:tabs>
        <w:ind w:left="1065" w:hanging="360"/>
      </w:pPr>
      <w:rPr>
        <w:rFonts w:hint="default"/>
      </w:rPr>
    </w:lvl>
  </w:abstractNum>
  <w:abstractNum w:abstractNumId="12" w15:restartNumberingAfterBreak="0">
    <w:nsid w:val="168E67A8"/>
    <w:multiLevelType w:val="singleLevel"/>
    <w:tmpl w:val="C03AFB6A"/>
    <w:lvl w:ilvl="0">
      <w:start w:val="1"/>
      <w:numFmt w:val="upperLetter"/>
      <w:lvlText w:val="%1."/>
      <w:lvlJc w:val="left"/>
      <w:pPr>
        <w:tabs>
          <w:tab w:val="num" w:pos="1065"/>
        </w:tabs>
        <w:ind w:left="1065" w:hanging="360"/>
      </w:pPr>
      <w:rPr>
        <w:rFonts w:hint="default"/>
      </w:rPr>
    </w:lvl>
  </w:abstractNum>
  <w:abstractNum w:abstractNumId="13" w15:restartNumberingAfterBreak="0">
    <w:nsid w:val="17455B42"/>
    <w:multiLevelType w:val="hybridMultilevel"/>
    <w:tmpl w:val="9F0ADEC8"/>
    <w:lvl w:ilvl="0" w:tplc="080C0001">
      <w:start w:val="1"/>
      <w:numFmt w:val="bullet"/>
      <w:lvlText w:val=""/>
      <w:lvlJc w:val="left"/>
      <w:pPr>
        <w:ind w:left="1881" w:hanging="360"/>
      </w:pPr>
      <w:rPr>
        <w:rFonts w:ascii="Symbol" w:hAnsi="Symbol" w:hint="default"/>
      </w:rPr>
    </w:lvl>
    <w:lvl w:ilvl="1" w:tplc="080C0003" w:tentative="1">
      <w:start w:val="1"/>
      <w:numFmt w:val="bullet"/>
      <w:lvlText w:val="o"/>
      <w:lvlJc w:val="left"/>
      <w:pPr>
        <w:ind w:left="2601" w:hanging="360"/>
      </w:pPr>
      <w:rPr>
        <w:rFonts w:ascii="Courier New" w:hAnsi="Courier New" w:cs="Courier New" w:hint="default"/>
      </w:rPr>
    </w:lvl>
    <w:lvl w:ilvl="2" w:tplc="080C0005" w:tentative="1">
      <w:start w:val="1"/>
      <w:numFmt w:val="bullet"/>
      <w:lvlText w:val=""/>
      <w:lvlJc w:val="left"/>
      <w:pPr>
        <w:ind w:left="3321" w:hanging="360"/>
      </w:pPr>
      <w:rPr>
        <w:rFonts w:ascii="Wingdings" w:hAnsi="Wingdings" w:hint="default"/>
      </w:rPr>
    </w:lvl>
    <w:lvl w:ilvl="3" w:tplc="080C0001" w:tentative="1">
      <w:start w:val="1"/>
      <w:numFmt w:val="bullet"/>
      <w:lvlText w:val=""/>
      <w:lvlJc w:val="left"/>
      <w:pPr>
        <w:ind w:left="4041" w:hanging="360"/>
      </w:pPr>
      <w:rPr>
        <w:rFonts w:ascii="Symbol" w:hAnsi="Symbol" w:hint="default"/>
      </w:rPr>
    </w:lvl>
    <w:lvl w:ilvl="4" w:tplc="080C0003" w:tentative="1">
      <w:start w:val="1"/>
      <w:numFmt w:val="bullet"/>
      <w:lvlText w:val="o"/>
      <w:lvlJc w:val="left"/>
      <w:pPr>
        <w:ind w:left="4761" w:hanging="360"/>
      </w:pPr>
      <w:rPr>
        <w:rFonts w:ascii="Courier New" w:hAnsi="Courier New" w:cs="Courier New" w:hint="default"/>
      </w:rPr>
    </w:lvl>
    <w:lvl w:ilvl="5" w:tplc="080C0005" w:tentative="1">
      <w:start w:val="1"/>
      <w:numFmt w:val="bullet"/>
      <w:lvlText w:val=""/>
      <w:lvlJc w:val="left"/>
      <w:pPr>
        <w:ind w:left="5481" w:hanging="360"/>
      </w:pPr>
      <w:rPr>
        <w:rFonts w:ascii="Wingdings" w:hAnsi="Wingdings" w:hint="default"/>
      </w:rPr>
    </w:lvl>
    <w:lvl w:ilvl="6" w:tplc="080C0001" w:tentative="1">
      <w:start w:val="1"/>
      <w:numFmt w:val="bullet"/>
      <w:lvlText w:val=""/>
      <w:lvlJc w:val="left"/>
      <w:pPr>
        <w:ind w:left="6201" w:hanging="360"/>
      </w:pPr>
      <w:rPr>
        <w:rFonts w:ascii="Symbol" w:hAnsi="Symbol" w:hint="default"/>
      </w:rPr>
    </w:lvl>
    <w:lvl w:ilvl="7" w:tplc="080C0003" w:tentative="1">
      <w:start w:val="1"/>
      <w:numFmt w:val="bullet"/>
      <w:lvlText w:val="o"/>
      <w:lvlJc w:val="left"/>
      <w:pPr>
        <w:ind w:left="6921" w:hanging="360"/>
      </w:pPr>
      <w:rPr>
        <w:rFonts w:ascii="Courier New" w:hAnsi="Courier New" w:cs="Courier New" w:hint="default"/>
      </w:rPr>
    </w:lvl>
    <w:lvl w:ilvl="8" w:tplc="080C0005" w:tentative="1">
      <w:start w:val="1"/>
      <w:numFmt w:val="bullet"/>
      <w:lvlText w:val=""/>
      <w:lvlJc w:val="left"/>
      <w:pPr>
        <w:ind w:left="7641" w:hanging="360"/>
      </w:pPr>
      <w:rPr>
        <w:rFonts w:ascii="Wingdings" w:hAnsi="Wingdings" w:hint="default"/>
      </w:rPr>
    </w:lvl>
  </w:abstractNum>
  <w:abstractNum w:abstractNumId="14" w15:restartNumberingAfterBreak="0">
    <w:nsid w:val="182617E2"/>
    <w:multiLevelType w:val="singleLevel"/>
    <w:tmpl w:val="FD36AA24"/>
    <w:lvl w:ilvl="0">
      <w:start w:val="2"/>
      <w:numFmt w:val="lowerLetter"/>
      <w:lvlText w:val="%1)"/>
      <w:lvlJc w:val="left"/>
      <w:pPr>
        <w:tabs>
          <w:tab w:val="num" w:pos="2829"/>
        </w:tabs>
        <w:ind w:left="2829" w:hanging="705"/>
      </w:pPr>
      <w:rPr>
        <w:rFonts w:hint="default"/>
      </w:rPr>
    </w:lvl>
  </w:abstractNum>
  <w:abstractNum w:abstractNumId="15" w15:restartNumberingAfterBreak="0">
    <w:nsid w:val="1C4A0373"/>
    <w:multiLevelType w:val="multilevel"/>
    <w:tmpl w:val="D9B8FE50"/>
    <w:lvl w:ilvl="0">
      <w:start w:val="1"/>
      <w:numFmt w:val="upperRoman"/>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1CEA0280"/>
    <w:multiLevelType w:val="singleLevel"/>
    <w:tmpl w:val="0E704566"/>
    <w:lvl w:ilvl="0">
      <w:start w:val="5"/>
      <w:numFmt w:val="decimal"/>
      <w:lvlText w:val="%1."/>
      <w:lvlJc w:val="left"/>
      <w:pPr>
        <w:tabs>
          <w:tab w:val="num" w:pos="927"/>
        </w:tabs>
        <w:ind w:left="927" w:hanging="360"/>
      </w:pPr>
      <w:rPr>
        <w:rFonts w:hint="default"/>
      </w:rPr>
    </w:lvl>
  </w:abstractNum>
  <w:abstractNum w:abstractNumId="17" w15:restartNumberingAfterBreak="0">
    <w:nsid w:val="26A52F90"/>
    <w:multiLevelType w:val="hybridMultilevel"/>
    <w:tmpl w:val="DB328B32"/>
    <w:lvl w:ilvl="0" w:tplc="080C000F">
      <w:start w:val="1"/>
      <w:numFmt w:val="decimal"/>
      <w:lvlText w:val="%1."/>
      <w:lvlJc w:val="left"/>
      <w:pPr>
        <w:ind w:left="1776" w:hanging="360"/>
      </w:p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18" w15:restartNumberingAfterBreak="0">
    <w:nsid w:val="27CC7877"/>
    <w:multiLevelType w:val="hybridMultilevel"/>
    <w:tmpl w:val="68949762"/>
    <w:lvl w:ilvl="0" w:tplc="100C000B">
      <w:start w:val="1"/>
      <w:numFmt w:val="bullet"/>
      <w:lvlText w:val=""/>
      <w:lvlJc w:val="left"/>
      <w:pPr>
        <w:tabs>
          <w:tab w:val="num" w:pos="1070"/>
        </w:tabs>
        <w:ind w:left="1070" w:hanging="360"/>
      </w:pPr>
      <w:rPr>
        <w:rFonts w:ascii="Wingdings" w:hAnsi="Wingdings" w:hint="default"/>
      </w:rPr>
    </w:lvl>
    <w:lvl w:ilvl="1" w:tplc="A300E67C">
      <w:numFmt w:val="bullet"/>
      <w:lvlText w:val="-"/>
      <w:lvlJc w:val="left"/>
      <w:pPr>
        <w:tabs>
          <w:tab w:val="num" w:pos="2150"/>
        </w:tabs>
        <w:ind w:left="2150" w:hanging="720"/>
      </w:pPr>
      <w:rPr>
        <w:rFonts w:ascii="Helvetica" w:eastAsia="Times New Roman" w:hAnsi="Helvetica" w:cs="Helvetica" w:hint="default"/>
      </w:rPr>
    </w:lvl>
    <w:lvl w:ilvl="2" w:tplc="100C0005" w:tentative="1">
      <w:start w:val="1"/>
      <w:numFmt w:val="bullet"/>
      <w:lvlText w:val=""/>
      <w:lvlJc w:val="left"/>
      <w:pPr>
        <w:tabs>
          <w:tab w:val="num" w:pos="2510"/>
        </w:tabs>
        <w:ind w:left="2510" w:hanging="360"/>
      </w:pPr>
      <w:rPr>
        <w:rFonts w:ascii="Wingdings" w:hAnsi="Wingdings" w:hint="default"/>
      </w:rPr>
    </w:lvl>
    <w:lvl w:ilvl="3" w:tplc="100C0001" w:tentative="1">
      <w:start w:val="1"/>
      <w:numFmt w:val="bullet"/>
      <w:lvlText w:val=""/>
      <w:lvlJc w:val="left"/>
      <w:pPr>
        <w:tabs>
          <w:tab w:val="num" w:pos="3230"/>
        </w:tabs>
        <w:ind w:left="3230" w:hanging="360"/>
      </w:pPr>
      <w:rPr>
        <w:rFonts w:ascii="Symbol" w:hAnsi="Symbol" w:hint="default"/>
      </w:rPr>
    </w:lvl>
    <w:lvl w:ilvl="4" w:tplc="100C0003" w:tentative="1">
      <w:start w:val="1"/>
      <w:numFmt w:val="bullet"/>
      <w:lvlText w:val="o"/>
      <w:lvlJc w:val="left"/>
      <w:pPr>
        <w:tabs>
          <w:tab w:val="num" w:pos="3950"/>
        </w:tabs>
        <w:ind w:left="3950" w:hanging="360"/>
      </w:pPr>
      <w:rPr>
        <w:rFonts w:ascii="Courier New" w:hAnsi="Courier New" w:cs="Courier New" w:hint="default"/>
      </w:rPr>
    </w:lvl>
    <w:lvl w:ilvl="5" w:tplc="100C0005" w:tentative="1">
      <w:start w:val="1"/>
      <w:numFmt w:val="bullet"/>
      <w:lvlText w:val=""/>
      <w:lvlJc w:val="left"/>
      <w:pPr>
        <w:tabs>
          <w:tab w:val="num" w:pos="4670"/>
        </w:tabs>
        <w:ind w:left="4670" w:hanging="360"/>
      </w:pPr>
      <w:rPr>
        <w:rFonts w:ascii="Wingdings" w:hAnsi="Wingdings" w:hint="default"/>
      </w:rPr>
    </w:lvl>
    <w:lvl w:ilvl="6" w:tplc="100C0001" w:tentative="1">
      <w:start w:val="1"/>
      <w:numFmt w:val="bullet"/>
      <w:lvlText w:val=""/>
      <w:lvlJc w:val="left"/>
      <w:pPr>
        <w:tabs>
          <w:tab w:val="num" w:pos="5390"/>
        </w:tabs>
        <w:ind w:left="5390" w:hanging="360"/>
      </w:pPr>
      <w:rPr>
        <w:rFonts w:ascii="Symbol" w:hAnsi="Symbol" w:hint="default"/>
      </w:rPr>
    </w:lvl>
    <w:lvl w:ilvl="7" w:tplc="100C0003" w:tentative="1">
      <w:start w:val="1"/>
      <w:numFmt w:val="bullet"/>
      <w:lvlText w:val="o"/>
      <w:lvlJc w:val="left"/>
      <w:pPr>
        <w:tabs>
          <w:tab w:val="num" w:pos="6110"/>
        </w:tabs>
        <w:ind w:left="6110" w:hanging="360"/>
      </w:pPr>
      <w:rPr>
        <w:rFonts w:ascii="Courier New" w:hAnsi="Courier New" w:cs="Courier New" w:hint="default"/>
      </w:rPr>
    </w:lvl>
    <w:lvl w:ilvl="8" w:tplc="100C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B9D6243"/>
    <w:multiLevelType w:val="hybridMultilevel"/>
    <w:tmpl w:val="BFFCBDE8"/>
    <w:lvl w:ilvl="0" w:tplc="100C000B">
      <w:start w:val="1"/>
      <w:numFmt w:val="bullet"/>
      <w:lvlText w:val=""/>
      <w:lvlJc w:val="left"/>
      <w:pPr>
        <w:tabs>
          <w:tab w:val="num" w:pos="2880"/>
        </w:tabs>
        <w:ind w:left="2880" w:hanging="360"/>
      </w:pPr>
      <w:rPr>
        <w:rFonts w:ascii="Wingdings" w:hAnsi="Wingdings" w:hint="default"/>
      </w:rPr>
    </w:lvl>
    <w:lvl w:ilvl="1" w:tplc="100C0003" w:tentative="1">
      <w:start w:val="1"/>
      <w:numFmt w:val="bullet"/>
      <w:lvlText w:val="o"/>
      <w:lvlJc w:val="left"/>
      <w:pPr>
        <w:tabs>
          <w:tab w:val="num" w:pos="3600"/>
        </w:tabs>
        <w:ind w:left="3600" w:hanging="360"/>
      </w:pPr>
      <w:rPr>
        <w:rFonts w:ascii="Courier New" w:hAnsi="Courier New" w:cs="Courier New" w:hint="default"/>
      </w:rPr>
    </w:lvl>
    <w:lvl w:ilvl="2" w:tplc="100C0005" w:tentative="1">
      <w:start w:val="1"/>
      <w:numFmt w:val="bullet"/>
      <w:lvlText w:val=""/>
      <w:lvlJc w:val="left"/>
      <w:pPr>
        <w:tabs>
          <w:tab w:val="num" w:pos="4320"/>
        </w:tabs>
        <w:ind w:left="4320" w:hanging="360"/>
      </w:pPr>
      <w:rPr>
        <w:rFonts w:ascii="Wingdings" w:hAnsi="Wingdings" w:hint="default"/>
      </w:rPr>
    </w:lvl>
    <w:lvl w:ilvl="3" w:tplc="100C0001" w:tentative="1">
      <w:start w:val="1"/>
      <w:numFmt w:val="bullet"/>
      <w:lvlText w:val=""/>
      <w:lvlJc w:val="left"/>
      <w:pPr>
        <w:tabs>
          <w:tab w:val="num" w:pos="5040"/>
        </w:tabs>
        <w:ind w:left="5040" w:hanging="360"/>
      </w:pPr>
      <w:rPr>
        <w:rFonts w:ascii="Symbol" w:hAnsi="Symbol" w:hint="default"/>
      </w:rPr>
    </w:lvl>
    <w:lvl w:ilvl="4" w:tplc="100C0003" w:tentative="1">
      <w:start w:val="1"/>
      <w:numFmt w:val="bullet"/>
      <w:lvlText w:val="o"/>
      <w:lvlJc w:val="left"/>
      <w:pPr>
        <w:tabs>
          <w:tab w:val="num" w:pos="5760"/>
        </w:tabs>
        <w:ind w:left="5760" w:hanging="360"/>
      </w:pPr>
      <w:rPr>
        <w:rFonts w:ascii="Courier New" w:hAnsi="Courier New" w:cs="Courier New" w:hint="default"/>
      </w:rPr>
    </w:lvl>
    <w:lvl w:ilvl="5" w:tplc="100C0005" w:tentative="1">
      <w:start w:val="1"/>
      <w:numFmt w:val="bullet"/>
      <w:lvlText w:val=""/>
      <w:lvlJc w:val="left"/>
      <w:pPr>
        <w:tabs>
          <w:tab w:val="num" w:pos="6480"/>
        </w:tabs>
        <w:ind w:left="6480" w:hanging="360"/>
      </w:pPr>
      <w:rPr>
        <w:rFonts w:ascii="Wingdings" w:hAnsi="Wingdings" w:hint="default"/>
      </w:rPr>
    </w:lvl>
    <w:lvl w:ilvl="6" w:tplc="100C0001" w:tentative="1">
      <w:start w:val="1"/>
      <w:numFmt w:val="bullet"/>
      <w:lvlText w:val=""/>
      <w:lvlJc w:val="left"/>
      <w:pPr>
        <w:tabs>
          <w:tab w:val="num" w:pos="7200"/>
        </w:tabs>
        <w:ind w:left="7200" w:hanging="360"/>
      </w:pPr>
      <w:rPr>
        <w:rFonts w:ascii="Symbol" w:hAnsi="Symbol" w:hint="default"/>
      </w:rPr>
    </w:lvl>
    <w:lvl w:ilvl="7" w:tplc="100C0003" w:tentative="1">
      <w:start w:val="1"/>
      <w:numFmt w:val="bullet"/>
      <w:lvlText w:val="o"/>
      <w:lvlJc w:val="left"/>
      <w:pPr>
        <w:tabs>
          <w:tab w:val="num" w:pos="7920"/>
        </w:tabs>
        <w:ind w:left="7920" w:hanging="360"/>
      </w:pPr>
      <w:rPr>
        <w:rFonts w:ascii="Courier New" w:hAnsi="Courier New" w:cs="Courier New" w:hint="default"/>
      </w:rPr>
    </w:lvl>
    <w:lvl w:ilvl="8" w:tplc="100C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2D6113F9"/>
    <w:multiLevelType w:val="hybridMultilevel"/>
    <w:tmpl w:val="F154A41C"/>
    <w:lvl w:ilvl="0" w:tplc="100C000B">
      <w:start w:val="1"/>
      <w:numFmt w:val="bullet"/>
      <w:lvlText w:val=""/>
      <w:lvlJc w:val="left"/>
      <w:pPr>
        <w:tabs>
          <w:tab w:val="num" w:pos="2160"/>
        </w:tabs>
        <w:ind w:left="2160" w:hanging="360"/>
      </w:pPr>
      <w:rPr>
        <w:rFonts w:ascii="Wingdings" w:hAnsi="Wingdings" w:hint="default"/>
      </w:rPr>
    </w:lvl>
    <w:lvl w:ilvl="1" w:tplc="A300E67C">
      <w:numFmt w:val="bullet"/>
      <w:lvlText w:val="-"/>
      <w:lvlJc w:val="left"/>
      <w:pPr>
        <w:tabs>
          <w:tab w:val="num" w:pos="3240"/>
        </w:tabs>
        <w:ind w:left="3240" w:hanging="720"/>
      </w:pPr>
      <w:rPr>
        <w:rFonts w:ascii="Helvetica" w:eastAsia="Times New Roman" w:hAnsi="Helvetica" w:cs="Helvetica" w:hint="default"/>
      </w:rPr>
    </w:lvl>
    <w:lvl w:ilvl="2" w:tplc="100C0005" w:tentative="1">
      <w:start w:val="1"/>
      <w:numFmt w:val="bullet"/>
      <w:lvlText w:val=""/>
      <w:lvlJc w:val="left"/>
      <w:pPr>
        <w:tabs>
          <w:tab w:val="num" w:pos="3600"/>
        </w:tabs>
        <w:ind w:left="3600" w:hanging="360"/>
      </w:pPr>
      <w:rPr>
        <w:rFonts w:ascii="Wingdings" w:hAnsi="Wingdings" w:hint="default"/>
      </w:rPr>
    </w:lvl>
    <w:lvl w:ilvl="3" w:tplc="100C0001" w:tentative="1">
      <w:start w:val="1"/>
      <w:numFmt w:val="bullet"/>
      <w:lvlText w:val=""/>
      <w:lvlJc w:val="left"/>
      <w:pPr>
        <w:tabs>
          <w:tab w:val="num" w:pos="4320"/>
        </w:tabs>
        <w:ind w:left="4320" w:hanging="360"/>
      </w:pPr>
      <w:rPr>
        <w:rFonts w:ascii="Symbol" w:hAnsi="Symbol" w:hint="default"/>
      </w:rPr>
    </w:lvl>
    <w:lvl w:ilvl="4" w:tplc="100C0003" w:tentative="1">
      <w:start w:val="1"/>
      <w:numFmt w:val="bullet"/>
      <w:lvlText w:val="o"/>
      <w:lvlJc w:val="left"/>
      <w:pPr>
        <w:tabs>
          <w:tab w:val="num" w:pos="5040"/>
        </w:tabs>
        <w:ind w:left="5040" w:hanging="360"/>
      </w:pPr>
      <w:rPr>
        <w:rFonts w:ascii="Courier New" w:hAnsi="Courier New" w:cs="Courier New" w:hint="default"/>
      </w:rPr>
    </w:lvl>
    <w:lvl w:ilvl="5" w:tplc="100C0005" w:tentative="1">
      <w:start w:val="1"/>
      <w:numFmt w:val="bullet"/>
      <w:lvlText w:val=""/>
      <w:lvlJc w:val="left"/>
      <w:pPr>
        <w:tabs>
          <w:tab w:val="num" w:pos="5760"/>
        </w:tabs>
        <w:ind w:left="5760" w:hanging="360"/>
      </w:pPr>
      <w:rPr>
        <w:rFonts w:ascii="Wingdings" w:hAnsi="Wingdings" w:hint="default"/>
      </w:rPr>
    </w:lvl>
    <w:lvl w:ilvl="6" w:tplc="100C0001" w:tentative="1">
      <w:start w:val="1"/>
      <w:numFmt w:val="bullet"/>
      <w:lvlText w:val=""/>
      <w:lvlJc w:val="left"/>
      <w:pPr>
        <w:tabs>
          <w:tab w:val="num" w:pos="6480"/>
        </w:tabs>
        <w:ind w:left="6480" w:hanging="360"/>
      </w:pPr>
      <w:rPr>
        <w:rFonts w:ascii="Symbol" w:hAnsi="Symbol" w:hint="default"/>
      </w:rPr>
    </w:lvl>
    <w:lvl w:ilvl="7" w:tplc="100C0003" w:tentative="1">
      <w:start w:val="1"/>
      <w:numFmt w:val="bullet"/>
      <w:lvlText w:val="o"/>
      <w:lvlJc w:val="left"/>
      <w:pPr>
        <w:tabs>
          <w:tab w:val="num" w:pos="7200"/>
        </w:tabs>
        <w:ind w:left="7200" w:hanging="360"/>
      </w:pPr>
      <w:rPr>
        <w:rFonts w:ascii="Courier New" w:hAnsi="Courier New" w:cs="Courier New" w:hint="default"/>
      </w:rPr>
    </w:lvl>
    <w:lvl w:ilvl="8" w:tplc="100C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32006103"/>
    <w:multiLevelType w:val="singleLevel"/>
    <w:tmpl w:val="D13A4FDC"/>
    <w:lvl w:ilvl="0">
      <w:start w:val="5"/>
      <w:numFmt w:val="bullet"/>
      <w:lvlText w:val="-"/>
      <w:lvlJc w:val="left"/>
      <w:pPr>
        <w:tabs>
          <w:tab w:val="num" w:pos="2487"/>
        </w:tabs>
        <w:ind w:left="2487" w:hanging="360"/>
      </w:pPr>
      <w:rPr>
        <w:rFonts w:hint="default"/>
      </w:rPr>
    </w:lvl>
  </w:abstractNum>
  <w:abstractNum w:abstractNumId="22" w15:restartNumberingAfterBreak="0">
    <w:nsid w:val="33A8664F"/>
    <w:multiLevelType w:val="hybridMultilevel"/>
    <w:tmpl w:val="9C68C0A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44A3AA0"/>
    <w:multiLevelType w:val="hybridMultilevel"/>
    <w:tmpl w:val="A5F66C1A"/>
    <w:lvl w:ilvl="0" w:tplc="100C000B">
      <w:start w:val="1"/>
      <w:numFmt w:val="bullet"/>
      <w:lvlText w:val=""/>
      <w:lvlJc w:val="left"/>
      <w:pPr>
        <w:tabs>
          <w:tab w:val="num" w:pos="2880"/>
        </w:tabs>
        <w:ind w:left="2880" w:hanging="360"/>
      </w:pPr>
      <w:rPr>
        <w:rFonts w:ascii="Wingdings" w:hAnsi="Wingdings" w:hint="default"/>
      </w:rPr>
    </w:lvl>
    <w:lvl w:ilvl="1" w:tplc="100C0003">
      <w:start w:val="1"/>
      <w:numFmt w:val="bullet"/>
      <w:lvlText w:val="o"/>
      <w:lvlJc w:val="left"/>
      <w:pPr>
        <w:tabs>
          <w:tab w:val="num" w:pos="3600"/>
        </w:tabs>
        <w:ind w:left="3600" w:hanging="360"/>
      </w:pPr>
      <w:rPr>
        <w:rFonts w:ascii="Courier New" w:hAnsi="Courier New" w:cs="Courier New" w:hint="default"/>
      </w:rPr>
    </w:lvl>
    <w:lvl w:ilvl="2" w:tplc="100C0005" w:tentative="1">
      <w:start w:val="1"/>
      <w:numFmt w:val="bullet"/>
      <w:lvlText w:val=""/>
      <w:lvlJc w:val="left"/>
      <w:pPr>
        <w:tabs>
          <w:tab w:val="num" w:pos="4320"/>
        </w:tabs>
        <w:ind w:left="4320" w:hanging="360"/>
      </w:pPr>
      <w:rPr>
        <w:rFonts w:ascii="Wingdings" w:hAnsi="Wingdings" w:hint="default"/>
      </w:rPr>
    </w:lvl>
    <w:lvl w:ilvl="3" w:tplc="100C0001" w:tentative="1">
      <w:start w:val="1"/>
      <w:numFmt w:val="bullet"/>
      <w:lvlText w:val=""/>
      <w:lvlJc w:val="left"/>
      <w:pPr>
        <w:tabs>
          <w:tab w:val="num" w:pos="5040"/>
        </w:tabs>
        <w:ind w:left="5040" w:hanging="360"/>
      </w:pPr>
      <w:rPr>
        <w:rFonts w:ascii="Symbol" w:hAnsi="Symbol" w:hint="default"/>
      </w:rPr>
    </w:lvl>
    <w:lvl w:ilvl="4" w:tplc="100C0003" w:tentative="1">
      <w:start w:val="1"/>
      <w:numFmt w:val="bullet"/>
      <w:lvlText w:val="o"/>
      <w:lvlJc w:val="left"/>
      <w:pPr>
        <w:tabs>
          <w:tab w:val="num" w:pos="5760"/>
        </w:tabs>
        <w:ind w:left="5760" w:hanging="360"/>
      </w:pPr>
      <w:rPr>
        <w:rFonts w:ascii="Courier New" w:hAnsi="Courier New" w:cs="Courier New" w:hint="default"/>
      </w:rPr>
    </w:lvl>
    <w:lvl w:ilvl="5" w:tplc="100C0005" w:tentative="1">
      <w:start w:val="1"/>
      <w:numFmt w:val="bullet"/>
      <w:lvlText w:val=""/>
      <w:lvlJc w:val="left"/>
      <w:pPr>
        <w:tabs>
          <w:tab w:val="num" w:pos="6480"/>
        </w:tabs>
        <w:ind w:left="6480" w:hanging="360"/>
      </w:pPr>
      <w:rPr>
        <w:rFonts w:ascii="Wingdings" w:hAnsi="Wingdings" w:hint="default"/>
      </w:rPr>
    </w:lvl>
    <w:lvl w:ilvl="6" w:tplc="100C0001" w:tentative="1">
      <w:start w:val="1"/>
      <w:numFmt w:val="bullet"/>
      <w:lvlText w:val=""/>
      <w:lvlJc w:val="left"/>
      <w:pPr>
        <w:tabs>
          <w:tab w:val="num" w:pos="7200"/>
        </w:tabs>
        <w:ind w:left="7200" w:hanging="360"/>
      </w:pPr>
      <w:rPr>
        <w:rFonts w:ascii="Symbol" w:hAnsi="Symbol" w:hint="default"/>
      </w:rPr>
    </w:lvl>
    <w:lvl w:ilvl="7" w:tplc="100C0003" w:tentative="1">
      <w:start w:val="1"/>
      <w:numFmt w:val="bullet"/>
      <w:lvlText w:val="o"/>
      <w:lvlJc w:val="left"/>
      <w:pPr>
        <w:tabs>
          <w:tab w:val="num" w:pos="7920"/>
        </w:tabs>
        <w:ind w:left="7920" w:hanging="360"/>
      </w:pPr>
      <w:rPr>
        <w:rFonts w:ascii="Courier New" w:hAnsi="Courier New" w:cs="Courier New" w:hint="default"/>
      </w:rPr>
    </w:lvl>
    <w:lvl w:ilvl="8" w:tplc="100C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3EA3C28"/>
    <w:multiLevelType w:val="hybridMultilevel"/>
    <w:tmpl w:val="51E8A0DE"/>
    <w:lvl w:ilvl="0" w:tplc="100C0005">
      <w:start w:val="1"/>
      <w:numFmt w:val="bullet"/>
      <w:lvlText w:val=""/>
      <w:lvlJc w:val="left"/>
      <w:pPr>
        <w:tabs>
          <w:tab w:val="num" w:pos="2874"/>
        </w:tabs>
        <w:ind w:left="2874" w:hanging="360"/>
      </w:pPr>
      <w:rPr>
        <w:rFonts w:ascii="Wingdings" w:hAnsi="Wingdings" w:hint="default"/>
      </w:rPr>
    </w:lvl>
    <w:lvl w:ilvl="1" w:tplc="100C0003">
      <w:start w:val="1"/>
      <w:numFmt w:val="bullet"/>
      <w:lvlText w:val="o"/>
      <w:lvlJc w:val="left"/>
      <w:pPr>
        <w:tabs>
          <w:tab w:val="num" w:pos="1815"/>
        </w:tabs>
        <w:ind w:left="1815" w:hanging="360"/>
      </w:pPr>
      <w:rPr>
        <w:rFonts w:ascii="Courier New" w:hAnsi="Courier New" w:cs="Courier New" w:hint="default"/>
      </w:rPr>
    </w:lvl>
    <w:lvl w:ilvl="2" w:tplc="100C0005" w:tentative="1">
      <w:start w:val="1"/>
      <w:numFmt w:val="bullet"/>
      <w:lvlText w:val=""/>
      <w:lvlJc w:val="left"/>
      <w:pPr>
        <w:tabs>
          <w:tab w:val="num" w:pos="2535"/>
        </w:tabs>
        <w:ind w:left="2535" w:hanging="360"/>
      </w:pPr>
      <w:rPr>
        <w:rFonts w:ascii="Wingdings" w:hAnsi="Wingdings" w:hint="default"/>
      </w:rPr>
    </w:lvl>
    <w:lvl w:ilvl="3" w:tplc="100C0001" w:tentative="1">
      <w:start w:val="1"/>
      <w:numFmt w:val="bullet"/>
      <w:lvlText w:val=""/>
      <w:lvlJc w:val="left"/>
      <w:pPr>
        <w:tabs>
          <w:tab w:val="num" w:pos="3255"/>
        </w:tabs>
        <w:ind w:left="3255" w:hanging="360"/>
      </w:pPr>
      <w:rPr>
        <w:rFonts w:ascii="Symbol" w:hAnsi="Symbol" w:hint="default"/>
      </w:rPr>
    </w:lvl>
    <w:lvl w:ilvl="4" w:tplc="100C0003" w:tentative="1">
      <w:start w:val="1"/>
      <w:numFmt w:val="bullet"/>
      <w:lvlText w:val="o"/>
      <w:lvlJc w:val="left"/>
      <w:pPr>
        <w:tabs>
          <w:tab w:val="num" w:pos="3975"/>
        </w:tabs>
        <w:ind w:left="3975" w:hanging="360"/>
      </w:pPr>
      <w:rPr>
        <w:rFonts w:ascii="Courier New" w:hAnsi="Courier New" w:cs="Courier New" w:hint="default"/>
      </w:rPr>
    </w:lvl>
    <w:lvl w:ilvl="5" w:tplc="100C0005" w:tentative="1">
      <w:start w:val="1"/>
      <w:numFmt w:val="bullet"/>
      <w:lvlText w:val=""/>
      <w:lvlJc w:val="left"/>
      <w:pPr>
        <w:tabs>
          <w:tab w:val="num" w:pos="4695"/>
        </w:tabs>
        <w:ind w:left="4695" w:hanging="360"/>
      </w:pPr>
      <w:rPr>
        <w:rFonts w:ascii="Wingdings" w:hAnsi="Wingdings" w:hint="default"/>
      </w:rPr>
    </w:lvl>
    <w:lvl w:ilvl="6" w:tplc="100C0001" w:tentative="1">
      <w:start w:val="1"/>
      <w:numFmt w:val="bullet"/>
      <w:lvlText w:val=""/>
      <w:lvlJc w:val="left"/>
      <w:pPr>
        <w:tabs>
          <w:tab w:val="num" w:pos="5415"/>
        </w:tabs>
        <w:ind w:left="5415" w:hanging="360"/>
      </w:pPr>
      <w:rPr>
        <w:rFonts w:ascii="Symbol" w:hAnsi="Symbol" w:hint="default"/>
      </w:rPr>
    </w:lvl>
    <w:lvl w:ilvl="7" w:tplc="100C0003" w:tentative="1">
      <w:start w:val="1"/>
      <w:numFmt w:val="bullet"/>
      <w:lvlText w:val="o"/>
      <w:lvlJc w:val="left"/>
      <w:pPr>
        <w:tabs>
          <w:tab w:val="num" w:pos="6135"/>
        </w:tabs>
        <w:ind w:left="6135" w:hanging="360"/>
      </w:pPr>
      <w:rPr>
        <w:rFonts w:ascii="Courier New" w:hAnsi="Courier New" w:cs="Courier New" w:hint="default"/>
      </w:rPr>
    </w:lvl>
    <w:lvl w:ilvl="8" w:tplc="100C0005" w:tentative="1">
      <w:start w:val="1"/>
      <w:numFmt w:val="bullet"/>
      <w:lvlText w:val=""/>
      <w:lvlJc w:val="left"/>
      <w:pPr>
        <w:tabs>
          <w:tab w:val="num" w:pos="6855"/>
        </w:tabs>
        <w:ind w:left="6855" w:hanging="360"/>
      </w:pPr>
      <w:rPr>
        <w:rFonts w:ascii="Wingdings" w:hAnsi="Wingdings" w:hint="default"/>
      </w:rPr>
    </w:lvl>
  </w:abstractNum>
  <w:abstractNum w:abstractNumId="25" w15:restartNumberingAfterBreak="0">
    <w:nsid w:val="461E3AEC"/>
    <w:multiLevelType w:val="hybridMultilevel"/>
    <w:tmpl w:val="70BC461E"/>
    <w:lvl w:ilvl="0" w:tplc="080C0017">
      <w:start w:val="1"/>
      <w:numFmt w:val="lowerLetter"/>
      <w:lvlText w:val="%1)"/>
      <w:lvlJc w:val="left"/>
      <w:pPr>
        <w:ind w:left="1571" w:hanging="360"/>
      </w:p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26" w15:restartNumberingAfterBreak="0">
    <w:nsid w:val="4B1A6C0E"/>
    <w:multiLevelType w:val="hybridMultilevel"/>
    <w:tmpl w:val="E0048776"/>
    <w:lvl w:ilvl="0" w:tplc="100C0005">
      <w:start w:val="1"/>
      <w:numFmt w:val="bullet"/>
      <w:lvlText w:val=""/>
      <w:lvlJc w:val="left"/>
      <w:pPr>
        <w:tabs>
          <w:tab w:val="num" w:pos="720"/>
        </w:tabs>
        <w:ind w:left="720" w:hanging="360"/>
      </w:pPr>
      <w:rPr>
        <w:rFonts w:ascii="Wingdings" w:hAnsi="Wingdings" w:hint="default"/>
      </w:rPr>
    </w:lvl>
    <w:lvl w:ilvl="1" w:tplc="100C0003">
      <w:start w:val="1"/>
      <w:numFmt w:val="bullet"/>
      <w:lvlText w:val="o"/>
      <w:lvlJc w:val="left"/>
      <w:pPr>
        <w:tabs>
          <w:tab w:val="num" w:pos="1440"/>
        </w:tabs>
        <w:ind w:left="1440" w:hanging="360"/>
      </w:pPr>
      <w:rPr>
        <w:rFonts w:ascii="Courier New" w:hAnsi="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F217A"/>
    <w:multiLevelType w:val="hybridMultilevel"/>
    <w:tmpl w:val="3306E242"/>
    <w:lvl w:ilvl="0" w:tplc="D8CC96D6">
      <w:start w:val="2"/>
      <w:numFmt w:val="bullet"/>
      <w:lvlText w:val="-"/>
      <w:lvlJc w:val="left"/>
      <w:pPr>
        <w:ind w:left="1776" w:hanging="360"/>
      </w:pPr>
      <w:rPr>
        <w:rFonts w:ascii="Times New Roman" w:eastAsia="Times New Roman"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8" w15:restartNumberingAfterBreak="0">
    <w:nsid w:val="5170747F"/>
    <w:multiLevelType w:val="hybridMultilevel"/>
    <w:tmpl w:val="20A837C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6316D20"/>
    <w:multiLevelType w:val="hybridMultilevel"/>
    <w:tmpl w:val="846820B2"/>
    <w:lvl w:ilvl="0" w:tplc="080C0017">
      <w:start w:val="1"/>
      <w:numFmt w:val="lowerLetter"/>
      <w:lvlText w:val="%1)"/>
      <w:lvlJc w:val="left"/>
      <w:pPr>
        <w:ind w:left="2484" w:hanging="360"/>
      </w:p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30" w15:restartNumberingAfterBreak="0">
    <w:nsid w:val="56B824E1"/>
    <w:multiLevelType w:val="hybridMultilevel"/>
    <w:tmpl w:val="75944530"/>
    <w:lvl w:ilvl="0" w:tplc="775A447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6E3111E"/>
    <w:multiLevelType w:val="hybridMultilevel"/>
    <w:tmpl w:val="DE7021C6"/>
    <w:lvl w:ilvl="0" w:tplc="C42C6F44">
      <w:start w:val="201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BA91B02"/>
    <w:multiLevelType w:val="hybridMultilevel"/>
    <w:tmpl w:val="846820B2"/>
    <w:lvl w:ilvl="0" w:tplc="080C0017">
      <w:start w:val="1"/>
      <w:numFmt w:val="lowerLetter"/>
      <w:lvlText w:val="%1)"/>
      <w:lvlJc w:val="left"/>
      <w:pPr>
        <w:ind w:left="2484" w:hanging="360"/>
      </w:p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33" w15:restartNumberingAfterBreak="0">
    <w:nsid w:val="5C2949DF"/>
    <w:multiLevelType w:val="hybridMultilevel"/>
    <w:tmpl w:val="60D8A134"/>
    <w:lvl w:ilvl="0" w:tplc="6CE89908">
      <w:start w:val="2000"/>
      <w:numFmt w:val="bullet"/>
      <w:lvlText w:val="-"/>
      <w:lvlJc w:val="left"/>
      <w:pPr>
        <w:ind w:left="1776" w:hanging="360"/>
      </w:pPr>
      <w:rPr>
        <w:rFonts w:ascii="Times New Roman" w:eastAsia="Times New Roman" w:hAnsi="Times New Roman" w:cs="Times New Roman" w:hint="default"/>
      </w:rPr>
    </w:lvl>
    <w:lvl w:ilvl="1" w:tplc="100C0001">
      <w:start w:val="1"/>
      <w:numFmt w:val="bullet"/>
      <w:lvlText w:val=""/>
      <w:lvlJc w:val="left"/>
      <w:pPr>
        <w:ind w:left="2496" w:hanging="360"/>
      </w:pPr>
      <w:rPr>
        <w:rFonts w:ascii="Symbol" w:hAnsi="Symbol"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4" w15:restartNumberingAfterBreak="0">
    <w:nsid w:val="5CD22A8B"/>
    <w:multiLevelType w:val="hybridMultilevel"/>
    <w:tmpl w:val="53124D82"/>
    <w:lvl w:ilvl="0" w:tplc="6CE89908">
      <w:start w:val="2000"/>
      <w:numFmt w:val="bullet"/>
      <w:lvlText w:val="-"/>
      <w:lvlJc w:val="left"/>
      <w:pPr>
        <w:ind w:left="1776" w:hanging="360"/>
      </w:pPr>
      <w:rPr>
        <w:rFonts w:ascii="Times New Roman" w:eastAsia="Times New Roman"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35" w15:restartNumberingAfterBreak="0">
    <w:nsid w:val="64C52104"/>
    <w:multiLevelType w:val="singleLevel"/>
    <w:tmpl w:val="9012A6D4"/>
    <w:lvl w:ilvl="0">
      <w:start w:val="3"/>
      <w:numFmt w:val="decimal"/>
      <w:lvlText w:val="%1."/>
      <w:lvlJc w:val="left"/>
      <w:pPr>
        <w:tabs>
          <w:tab w:val="num" w:pos="927"/>
        </w:tabs>
        <w:ind w:left="927" w:hanging="360"/>
      </w:pPr>
      <w:rPr>
        <w:rFonts w:hint="default"/>
        <w:u w:val="none"/>
      </w:rPr>
    </w:lvl>
  </w:abstractNum>
  <w:abstractNum w:abstractNumId="36" w15:restartNumberingAfterBreak="0">
    <w:nsid w:val="67D4729D"/>
    <w:multiLevelType w:val="hybridMultilevel"/>
    <w:tmpl w:val="2B001BAA"/>
    <w:lvl w:ilvl="0" w:tplc="98D6C356">
      <w:start w:val="3"/>
      <w:numFmt w:val="bullet"/>
      <w:lvlText w:val="-"/>
      <w:lvlJc w:val="left"/>
      <w:pPr>
        <w:ind w:left="1080" w:hanging="360"/>
      </w:pPr>
      <w:rPr>
        <w:rFonts w:ascii="Calibri" w:eastAsia="Calibri" w:hAnsi="Calibri"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7" w15:restartNumberingAfterBreak="0">
    <w:nsid w:val="73776EC2"/>
    <w:multiLevelType w:val="hybridMultilevel"/>
    <w:tmpl w:val="A9CEAE2C"/>
    <w:lvl w:ilvl="0" w:tplc="100C0005">
      <w:start w:val="1"/>
      <w:numFmt w:val="bullet"/>
      <w:lvlText w:val=""/>
      <w:lvlJc w:val="left"/>
      <w:pPr>
        <w:tabs>
          <w:tab w:val="num" w:pos="720"/>
        </w:tabs>
        <w:ind w:left="720" w:hanging="360"/>
      </w:pPr>
      <w:rPr>
        <w:rFonts w:ascii="Wingdings" w:hAnsi="Wingdings" w:hint="default"/>
      </w:rPr>
    </w:lvl>
    <w:lvl w:ilvl="1" w:tplc="100C0003" w:tentative="1">
      <w:start w:val="1"/>
      <w:numFmt w:val="bullet"/>
      <w:lvlText w:val="o"/>
      <w:lvlJc w:val="left"/>
      <w:pPr>
        <w:tabs>
          <w:tab w:val="num" w:pos="1440"/>
        </w:tabs>
        <w:ind w:left="1440" w:hanging="360"/>
      </w:pPr>
      <w:rPr>
        <w:rFonts w:ascii="Courier New" w:hAnsi="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56BD3"/>
    <w:multiLevelType w:val="hybridMultilevel"/>
    <w:tmpl w:val="945E3E12"/>
    <w:lvl w:ilvl="0" w:tplc="03CC2CBC">
      <w:start w:val="1"/>
      <w:numFmt w:val="upperLetter"/>
      <w:lvlText w:val="%1."/>
      <w:lvlJc w:val="left"/>
      <w:pPr>
        <w:ind w:left="1776" w:hanging="360"/>
      </w:pPr>
      <w:rPr>
        <w:rFonts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39" w15:restartNumberingAfterBreak="0">
    <w:nsid w:val="7AE31BF2"/>
    <w:multiLevelType w:val="hybridMultilevel"/>
    <w:tmpl w:val="A684A620"/>
    <w:lvl w:ilvl="0" w:tplc="080C0017">
      <w:start w:val="1"/>
      <w:numFmt w:val="lowerLetter"/>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num w:numId="1">
    <w:abstractNumId w:val="0"/>
    <w:lvlOverride w:ilvl="0">
      <w:lvl w:ilvl="0">
        <w:start w:val="1"/>
        <w:numFmt w:val="bullet"/>
        <w:lvlText w:val=""/>
        <w:legacy w:legacy="1" w:legacySpace="0" w:legacyIndent="708"/>
        <w:lvlJc w:val="left"/>
        <w:pPr>
          <w:ind w:left="2832" w:hanging="708"/>
        </w:pPr>
        <w:rPr>
          <w:rFonts w:ascii="Symbol" w:hAnsi="Symbol" w:hint="default"/>
        </w:rPr>
      </w:lvl>
    </w:lvlOverride>
  </w:num>
  <w:num w:numId="2">
    <w:abstractNumId w:val="0"/>
    <w:lvlOverride w:ilvl="0">
      <w:lvl w:ilvl="0">
        <w:start w:val="1"/>
        <w:numFmt w:val="bullet"/>
        <w:lvlText w:val=""/>
        <w:legacy w:legacy="1" w:legacySpace="0" w:legacyIndent="737"/>
        <w:lvlJc w:val="left"/>
        <w:pPr>
          <w:ind w:left="2153" w:hanging="737"/>
        </w:pPr>
        <w:rPr>
          <w:rFonts w:ascii="Symbol" w:hAnsi="Symbol" w:hint="default"/>
        </w:rPr>
      </w:lvl>
    </w:lvlOverride>
  </w:num>
  <w:num w:numId="3">
    <w:abstractNumId w:val="6"/>
  </w:num>
  <w:num w:numId="4">
    <w:abstractNumId w:val="12"/>
  </w:num>
  <w:num w:numId="5">
    <w:abstractNumId w:val="35"/>
  </w:num>
  <w:num w:numId="6">
    <w:abstractNumId w:val="14"/>
  </w:num>
  <w:num w:numId="7">
    <w:abstractNumId w:val="11"/>
  </w:num>
  <w:num w:numId="8">
    <w:abstractNumId w:val="21"/>
  </w:num>
  <w:num w:numId="9">
    <w:abstractNumId w:val="16"/>
  </w:num>
  <w:num w:numId="10">
    <w:abstractNumId w:val="19"/>
  </w:num>
  <w:num w:numId="11">
    <w:abstractNumId w:val="5"/>
  </w:num>
  <w:num w:numId="12">
    <w:abstractNumId w:val="23"/>
  </w:num>
  <w:num w:numId="13">
    <w:abstractNumId w:val="18"/>
  </w:num>
  <w:num w:numId="14">
    <w:abstractNumId w:val="20"/>
  </w:num>
  <w:num w:numId="15">
    <w:abstractNumId w:val="28"/>
  </w:num>
  <w:num w:numId="16">
    <w:abstractNumId w:val="24"/>
  </w:num>
  <w:num w:numId="17">
    <w:abstractNumId w:val="26"/>
  </w:num>
  <w:num w:numId="18">
    <w:abstractNumId w:val="37"/>
  </w:num>
  <w:num w:numId="19">
    <w:abstractNumId w:val="4"/>
  </w:num>
  <w:num w:numId="20">
    <w:abstractNumId w:val="10"/>
  </w:num>
  <w:num w:numId="21">
    <w:abstractNumId w:val="9"/>
  </w:num>
  <w:num w:numId="22">
    <w:abstractNumId w:val="38"/>
  </w:num>
  <w:num w:numId="23">
    <w:abstractNumId w:val="34"/>
  </w:num>
  <w:num w:numId="24">
    <w:abstractNumId w:val="36"/>
  </w:num>
  <w:num w:numId="25">
    <w:abstractNumId w:val="8"/>
  </w:num>
  <w:num w:numId="26">
    <w:abstractNumId w:val="1"/>
  </w:num>
  <w:num w:numId="27">
    <w:abstractNumId w:val="2"/>
  </w:num>
  <w:num w:numId="28">
    <w:abstractNumId w:val="33"/>
  </w:num>
  <w:num w:numId="29">
    <w:abstractNumId w:val="31"/>
  </w:num>
  <w:num w:numId="30">
    <w:abstractNumId w:val="3"/>
  </w:num>
  <w:num w:numId="31">
    <w:abstractNumId w:val="29"/>
  </w:num>
  <w:num w:numId="32">
    <w:abstractNumId w:val="22"/>
  </w:num>
  <w:num w:numId="33">
    <w:abstractNumId w:val="32"/>
  </w:num>
  <w:num w:numId="34">
    <w:abstractNumId w:val="17"/>
  </w:num>
  <w:num w:numId="35">
    <w:abstractNumId w:val="39"/>
  </w:num>
  <w:num w:numId="36">
    <w:abstractNumId w:val="25"/>
  </w:num>
  <w:num w:numId="37">
    <w:abstractNumId w:val="13"/>
  </w:num>
  <w:num w:numId="38">
    <w:abstractNumId w:val="27"/>
  </w:num>
  <w:num w:numId="39">
    <w:abstractNumId w:val="30"/>
  </w:num>
  <w:num w:numId="40">
    <w:abstractNumId w:val="15"/>
  </w:num>
  <w:num w:numId="41">
    <w:abstractNumId w:val="7"/>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7EB"/>
    <w:rsid w:val="00003E62"/>
    <w:rsid w:val="00004EE3"/>
    <w:rsid w:val="00006747"/>
    <w:rsid w:val="000149BE"/>
    <w:rsid w:val="000172C7"/>
    <w:rsid w:val="00020595"/>
    <w:rsid w:val="000248E9"/>
    <w:rsid w:val="000331A3"/>
    <w:rsid w:val="000419F8"/>
    <w:rsid w:val="000432A8"/>
    <w:rsid w:val="0004483D"/>
    <w:rsid w:val="000465B8"/>
    <w:rsid w:val="000504E9"/>
    <w:rsid w:val="000516BA"/>
    <w:rsid w:val="00052B63"/>
    <w:rsid w:val="0005390C"/>
    <w:rsid w:val="000670C6"/>
    <w:rsid w:val="00067258"/>
    <w:rsid w:val="0007183E"/>
    <w:rsid w:val="000772BB"/>
    <w:rsid w:val="00086A49"/>
    <w:rsid w:val="000A0511"/>
    <w:rsid w:val="000A10F9"/>
    <w:rsid w:val="000B002B"/>
    <w:rsid w:val="000B18EC"/>
    <w:rsid w:val="000B310F"/>
    <w:rsid w:val="000B4B39"/>
    <w:rsid w:val="000B5F76"/>
    <w:rsid w:val="000C2E03"/>
    <w:rsid w:val="000C3705"/>
    <w:rsid w:val="000C62D1"/>
    <w:rsid w:val="000C7EDB"/>
    <w:rsid w:val="000D1699"/>
    <w:rsid w:val="000D3805"/>
    <w:rsid w:val="000D3B09"/>
    <w:rsid w:val="000D790E"/>
    <w:rsid w:val="000E1530"/>
    <w:rsid w:val="000E4B7A"/>
    <w:rsid w:val="000E4DA6"/>
    <w:rsid w:val="000E63BB"/>
    <w:rsid w:val="000E72FB"/>
    <w:rsid w:val="000F0787"/>
    <w:rsid w:val="000F1BF5"/>
    <w:rsid w:val="000F6F07"/>
    <w:rsid w:val="00101CF0"/>
    <w:rsid w:val="00103B05"/>
    <w:rsid w:val="00105583"/>
    <w:rsid w:val="001129C0"/>
    <w:rsid w:val="001129FC"/>
    <w:rsid w:val="00112C52"/>
    <w:rsid w:val="00112D68"/>
    <w:rsid w:val="00121215"/>
    <w:rsid w:val="0012404F"/>
    <w:rsid w:val="00135377"/>
    <w:rsid w:val="00146443"/>
    <w:rsid w:val="001538CE"/>
    <w:rsid w:val="00162683"/>
    <w:rsid w:val="00176505"/>
    <w:rsid w:val="00181CAB"/>
    <w:rsid w:val="00181F4A"/>
    <w:rsid w:val="00184BAB"/>
    <w:rsid w:val="0019356F"/>
    <w:rsid w:val="001A084A"/>
    <w:rsid w:val="001A2D1C"/>
    <w:rsid w:val="001A34CA"/>
    <w:rsid w:val="001B224F"/>
    <w:rsid w:val="001B3CF1"/>
    <w:rsid w:val="001B5305"/>
    <w:rsid w:val="001B5EDA"/>
    <w:rsid w:val="001C144F"/>
    <w:rsid w:val="001C17AB"/>
    <w:rsid w:val="001E3DB0"/>
    <w:rsid w:val="001E479B"/>
    <w:rsid w:val="001F066C"/>
    <w:rsid w:val="001F2819"/>
    <w:rsid w:val="001F50ED"/>
    <w:rsid w:val="0022614B"/>
    <w:rsid w:val="002318EC"/>
    <w:rsid w:val="00232390"/>
    <w:rsid w:val="00233373"/>
    <w:rsid w:val="00241932"/>
    <w:rsid w:val="00243192"/>
    <w:rsid w:val="00246DDA"/>
    <w:rsid w:val="00255A46"/>
    <w:rsid w:val="002618F6"/>
    <w:rsid w:val="0026753B"/>
    <w:rsid w:val="002706E3"/>
    <w:rsid w:val="00273C03"/>
    <w:rsid w:val="00276370"/>
    <w:rsid w:val="00280703"/>
    <w:rsid w:val="002813B6"/>
    <w:rsid w:val="002906FD"/>
    <w:rsid w:val="00293F3F"/>
    <w:rsid w:val="0029478D"/>
    <w:rsid w:val="00296B75"/>
    <w:rsid w:val="002A006D"/>
    <w:rsid w:val="002A38B0"/>
    <w:rsid w:val="002A4A36"/>
    <w:rsid w:val="002A51BE"/>
    <w:rsid w:val="002A6B70"/>
    <w:rsid w:val="002B01B5"/>
    <w:rsid w:val="002B1B37"/>
    <w:rsid w:val="002B6976"/>
    <w:rsid w:val="002C06B9"/>
    <w:rsid w:val="002C13EB"/>
    <w:rsid w:val="002C225E"/>
    <w:rsid w:val="002C4417"/>
    <w:rsid w:val="002D0B7A"/>
    <w:rsid w:val="002D14BC"/>
    <w:rsid w:val="002D1F85"/>
    <w:rsid w:val="002D230E"/>
    <w:rsid w:val="002D5B00"/>
    <w:rsid w:val="002E1D3E"/>
    <w:rsid w:val="002F525A"/>
    <w:rsid w:val="002F611B"/>
    <w:rsid w:val="002F7786"/>
    <w:rsid w:val="0030268D"/>
    <w:rsid w:val="00304BDF"/>
    <w:rsid w:val="003133EB"/>
    <w:rsid w:val="0031630A"/>
    <w:rsid w:val="003172D1"/>
    <w:rsid w:val="00317629"/>
    <w:rsid w:val="00321491"/>
    <w:rsid w:val="00322D7D"/>
    <w:rsid w:val="003247A0"/>
    <w:rsid w:val="003316A9"/>
    <w:rsid w:val="00340488"/>
    <w:rsid w:val="00341764"/>
    <w:rsid w:val="00343B0E"/>
    <w:rsid w:val="00350D20"/>
    <w:rsid w:val="00351398"/>
    <w:rsid w:val="003527B4"/>
    <w:rsid w:val="00352833"/>
    <w:rsid w:val="003528B2"/>
    <w:rsid w:val="00354F50"/>
    <w:rsid w:val="00355787"/>
    <w:rsid w:val="00357246"/>
    <w:rsid w:val="00362416"/>
    <w:rsid w:val="0036386B"/>
    <w:rsid w:val="0036648F"/>
    <w:rsid w:val="00376993"/>
    <w:rsid w:val="00377112"/>
    <w:rsid w:val="003829A3"/>
    <w:rsid w:val="0039077D"/>
    <w:rsid w:val="00391166"/>
    <w:rsid w:val="003B18CE"/>
    <w:rsid w:val="003D6BC2"/>
    <w:rsid w:val="003D70A8"/>
    <w:rsid w:val="003D73DD"/>
    <w:rsid w:val="003E09F6"/>
    <w:rsid w:val="003E1DF6"/>
    <w:rsid w:val="003E5953"/>
    <w:rsid w:val="003E5BC0"/>
    <w:rsid w:val="00410878"/>
    <w:rsid w:val="004149FE"/>
    <w:rsid w:val="00415CF2"/>
    <w:rsid w:val="00424102"/>
    <w:rsid w:val="0042686A"/>
    <w:rsid w:val="00432914"/>
    <w:rsid w:val="004372EC"/>
    <w:rsid w:val="004423F8"/>
    <w:rsid w:val="00455AA4"/>
    <w:rsid w:val="0045668B"/>
    <w:rsid w:val="00460CE6"/>
    <w:rsid w:val="00462B1E"/>
    <w:rsid w:val="004738DD"/>
    <w:rsid w:val="0047596F"/>
    <w:rsid w:val="00490798"/>
    <w:rsid w:val="004960E3"/>
    <w:rsid w:val="004A06F6"/>
    <w:rsid w:val="004A1934"/>
    <w:rsid w:val="004A274F"/>
    <w:rsid w:val="004A2BA1"/>
    <w:rsid w:val="004A530F"/>
    <w:rsid w:val="004A5711"/>
    <w:rsid w:val="004B1869"/>
    <w:rsid w:val="004B71F6"/>
    <w:rsid w:val="004C1894"/>
    <w:rsid w:val="004C5D5C"/>
    <w:rsid w:val="004C6E6A"/>
    <w:rsid w:val="004D36E4"/>
    <w:rsid w:val="004D55EA"/>
    <w:rsid w:val="004D745F"/>
    <w:rsid w:val="004E5008"/>
    <w:rsid w:val="004F230E"/>
    <w:rsid w:val="004F5FE3"/>
    <w:rsid w:val="00501B77"/>
    <w:rsid w:val="0050219F"/>
    <w:rsid w:val="00510FB4"/>
    <w:rsid w:val="0053099B"/>
    <w:rsid w:val="00530F50"/>
    <w:rsid w:val="00537332"/>
    <w:rsid w:val="00537452"/>
    <w:rsid w:val="00537E66"/>
    <w:rsid w:val="0054628D"/>
    <w:rsid w:val="005503A2"/>
    <w:rsid w:val="005531EA"/>
    <w:rsid w:val="005545D3"/>
    <w:rsid w:val="0055562D"/>
    <w:rsid w:val="00560B54"/>
    <w:rsid w:val="00560DC3"/>
    <w:rsid w:val="00561052"/>
    <w:rsid w:val="00571F35"/>
    <w:rsid w:val="005734DC"/>
    <w:rsid w:val="00577E9D"/>
    <w:rsid w:val="00581320"/>
    <w:rsid w:val="0058186B"/>
    <w:rsid w:val="005827F6"/>
    <w:rsid w:val="00595354"/>
    <w:rsid w:val="005A108C"/>
    <w:rsid w:val="005A3516"/>
    <w:rsid w:val="005A44D8"/>
    <w:rsid w:val="005A584D"/>
    <w:rsid w:val="005B15DC"/>
    <w:rsid w:val="005B2861"/>
    <w:rsid w:val="005C04EC"/>
    <w:rsid w:val="005C2F59"/>
    <w:rsid w:val="005C4667"/>
    <w:rsid w:val="005C57E5"/>
    <w:rsid w:val="005D531D"/>
    <w:rsid w:val="005D6A8E"/>
    <w:rsid w:val="005E034F"/>
    <w:rsid w:val="005E268D"/>
    <w:rsid w:val="005F4F4C"/>
    <w:rsid w:val="005F691B"/>
    <w:rsid w:val="0060006B"/>
    <w:rsid w:val="0060099E"/>
    <w:rsid w:val="00610B65"/>
    <w:rsid w:val="006119FA"/>
    <w:rsid w:val="0061249B"/>
    <w:rsid w:val="00617F58"/>
    <w:rsid w:val="006201F3"/>
    <w:rsid w:val="006207E5"/>
    <w:rsid w:val="00624820"/>
    <w:rsid w:val="00631073"/>
    <w:rsid w:val="0063579F"/>
    <w:rsid w:val="006507B4"/>
    <w:rsid w:val="00652BEA"/>
    <w:rsid w:val="006547FC"/>
    <w:rsid w:val="006625A7"/>
    <w:rsid w:val="00662B77"/>
    <w:rsid w:val="00664312"/>
    <w:rsid w:val="00666555"/>
    <w:rsid w:val="00666DB3"/>
    <w:rsid w:val="00674D53"/>
    <w:rsid w:val="00676BF2"/>
    <w:rsid w:val="00676D62"/>
    <w:rsid w:val="006905C0"/>
    <w:rsid w:val="006922E2"/>
    <w:rsid w:val="00696A0F"/>
    <w:rsid w:val="006A0624"/>
    <w:rsid w:val="006A32A1"/>
    <w:rsid w:val="006A3DA7"/>
    <w:rsid w:val="006B3BA7"/>
    <w:rsid w:val="006B5282"/>
    <w:rsid w:val="006B7F39"/>
    <w:rsid w:val="006D2439"/>
    <w:rsid w:val="006E36D1"/>
    <w:rsid w:val="006F4C81"/>
    <w:rsid w:val="00701201"/>
    <w:rsid w:val="00702941"/>
    <w:rsid w:val="0070437F"/>
    <w:rsid w:val="0070523C"/>
    <w:rsid w:val="00705476"/>
    <w:rsid w:val="007056B4"/>
    <w:rsid w:val="0071254A"/>
    <w:rsid w:val="007131D2"/>
    <w:rsid w:val="00713391"/>
    <w:rsid w:val="00721C7A"/>
    <w:rsid w:val="00727314"/>
    <w:rsid w:val="00734064"/>
    <w:rsid w:val="0073439F"/>
    <w:rsid w:val="007355AA"/>
    <w:rsid w:val="0074108F"/>
    <w:rsid w:val="00746128"/>
    <w:rsid w:val="007478BF"/>
    <w:rsid w:val="007572F1"/>
    <w:rsid w:val="007615BE"/>
    <w:rsid w:val="007646C3"/>
    <w:rsid w:val="007648B6"/>
    <w:rsid w:val="00767736"/>
    <w:rsid w:val="00776673"/>
    <w:rsid w:val="00781992"/>
    <w:rsid w:val="00787259"/>
    <w:rsid w:val="00790398"/>
    <w:rsid w:val="00791E0B"/>
    <w:rsid w:val="007A7D38"/>
    <w:rsid w:val="007B01CB"/>
    <w:rsid w:val="007B05D7"/>
    <w:rsid w:val="007B1619"/>
    <w:rsid w:val="007B4399"/>
    <w:rsid w:val="007B69FA"/>
    <w:rsid w:val="007B74B9"/>
    <w:rsid w:val="007C25B7"/>
    <w:rsid w:val="007E2073"/>
    <w:rsid w:val="007E3092"/>
    <w:rsid w:val="007E386F"/>
    <w:rsid w:val="007E41D2"/>
    <w:rsid w:val="007E6EB2"/>
    <w:rsid w:val="007F1FB6"/>
    <w:rsid w:val="007F55CD"/>
    <w:rsid w:val="00800258"/>
    <w:rsid w:val="00800338"/>
    <w:rsid w:val="008014B5"/>
    <w:rsid w:val="008049CE"/>
    <w:rsid w:val="008162E5"/>
    <w:rsid w:val="00820460"/>
    <w:rsid w:val="00821EE1"/>
    <w:rsid w:val="0082542A"/>
    <w:rsid w:val="00827B63"/>
    <w:rsid w:val="00840FF8"/>
    <w:rsid w:val="008471B8"/>
    <w:rsid w:val="00850389"/>
    <w:rsid w:val="00850F33"/>
    <w:rsid w:val="008556C2"/>
    <w:rsid w:val="0086308F"/>
    <w:rsid w:val="00877250"/>
    <w:rsid w:val="00891EA7"/>
    <w:rsid w:val="008935CB"/>
    <w:rsid w:val="00897B72"/>
    <w:rsid w:val="008A11FC"/>
    <w:rsid w:val="008A157B"/>
    <w:rsid w:val="008A2C90"/>
    <w:rsid w:val="008A429E"/>
    <w:rsid w:val="008A5871"/>
    <w:rsid w:val="008A6DBF"/>
    <w:rsid w:val="008B3C65"/>
    <w:rsid w:val="008B53E7"/>
    <w:rsid w:val="008C02B4"/>
    <w:rsid w:val="008C30BB"/>
    <w:rsid w:val="008C38D9"/>
    <w:rsid w:val="008C65D8"/>
    <w:rsid w:val="008D3553"/>
    <w:rsid w:val="008E240F"/>
    <w:rsid w:val="008E5374"/>
    <w:rsid w:val="008F469D"/>
    <w:rsid w:val="008F5304"/>
    <w:rsid w:val="008F7F81"/>
    <w:rsid w:val="00902635"/>
    <w:rsid w:val="009027AF"/>
    <w:rsid w:val="00905AFA"/>
    <w:rsid w:val="00911C95"/>
    <w:rsid w:val="009122BC"/>
    <w:rsid w:val="009129E7"/>
    <w:rsid w:val="00914013"/>
    <w:rsid w:val="00914335"/>
    <w:rsid w:val="0091657D"/>
    <w:rsid w:val="009203C0"/>
    <w:rsid w:val="009250E9"/>
    <w:rsid w:val="0092617B"/>
    <w:rsid w:val="00926A7B"/>
    <w:rsid w:val="00926CE1"/>
    <w:rsid w:val="009306DA"/>
    <w:rsid w:val="009340CA"/>
    <w:rsid w:val="00935CB2"/>
    <w:rsid w:val="00936483"/>
    <w:rsid w:val="00941746"/>
    <w:rsid w:val="009421E2"/>
    <w:rsid w:val="0094341E"/>
    <w:rsid w:val="00950EAA"/>
    <w:rsid w:val="00951160"/>
    <w:rsid w:val="00951626"/>
    <w:rsid w:val="00951DC3"/>
    <w:rsid w:val="00956FD0"/>
    <w:rsid w:val="00970A05"/>
    <w:rsid w:val="00972B65"/>
    <w:rsid w:val="00975289"/>
    <w:rsid w:val="00981849"/>
    <w:rsid w:val="00985E93"/>
    <w:rsid w:val="009A5227"/>
    <w:rsid w:val="009A5909"/>
    <w:rsid w:val="009A6525"/>
    <w:rsid w:val="009B2FF6"/>
    <w:rsid w:val="009B3A6F"/>
    <w:rsid w:val="009C3BB7"/>
    <w:rsid w:val="009C6B1C"/>
    <w:rsid w:val="009D1599"/>
    <w:rsid w:val="009D1601"/>
    <w:rsid w:val="009D1846"/>
    <w:rsid w:val="009D5F29"/>
    <w:rsid w:val="009D64E8"/>
    <w:rsid w:val="009D7A46"/>
    <w:rsid w:val="009E05D3"/>
    <w:rsid w:val="009E4052"/>
    <w:rsid w:val="009E444D"/>
    <w:rsid w:val="009E6767"/>
    <w:rsid w:val="009F21E5"/>
    <w:rsid w:val="00A03B1B"/>
    <w:rsid w:val="00A045B9"/>
    <w:rsid w:val="00A049A9"/>
    <w:rsid w:val="00A1278B"/>
    <w:rsid w:val="00A158A4"/>
    <w:rsid w:val="00A168B6"/>
    <w:rsid w:val="00A17269"/>
    <w:rsid w:val="00A33D12"/>
    <w:rsid w:val="00A352D9"/>
    <w:rsid w:val="00A412A0"/>
    <w:rsid w:val="00A4469A"/>
    <w:rsid w:val="00A465C4"/>
    <w:rsid w:val="00A474ED"/>
    <w:rsid w:val="00A517AE"/>
    <w:rsid w:val="00A53327"/>
    <w:rsid w:val="00A55178"/>
    <w:rsid w:val="00A65E91"/>
    <w:rsid w:val="00A66F3E"/>
    <w:rsid w:val="00A84701"/>
    <w:rsid w:val="00A8478D"/>
    <w:rsid w:val="00A86A25"/>
    <w:rsid w:val="00A939AB"/>
    <w:rsid w:val="00AA2880"/>
    <w:rsid w:val="00AA2C21"/>
    <w:rsid w:val="00AA4829"/>
    <w:rsid w:val="00AB01CB"/>
    <w:rsid w:val="00AB61C4"/>
    <w:rsid w:val="00AB7D99"/>
    <w:rsid w:val="00AC08D0"/>
    <w:rsid w:val="00AC3816"/>
    <w:rsid w:val="00AC5CA0"/>
    <w:rsid w:val="00AC67AD"/>
    <w:rsid w:val="00AC69D2"/>
    <w:rsid w:val="00AC7B8F"/>
    <w:rsid w:val="00AD52B0"/>
    <w:rsid w:val="00AD614D"/>
    <w:rsid w:val="00AE02C5"/>
    <w:rsid w:val="00AE133E"/>
    <w:rsid w:val="00AE49D6"/>
    <w:rsid w:val="00AE63B6"/>
    <w:rsid w:val="00AF0658"/>
    <w:rsid w:val="00AF072A"/>
    <w:rsid w:val="00AF6B08"/>
    <w:rsid w:val="00B07A25"/>
    <w:rsid w:val="00B10B3B"/>
    <w:rsid w:val="00B11725"/>
    <w:rsid w:val="00B12238"/>
    <w:rsid w:val="00B12D60"/>
    <w:rsid w:val="00B13936"/>
    <w:rsid w:val="00B21385"/>
    <w:rsid w:val="00B24C2E"/>
    <w:rsid w:val="00B36913"/>
    <w:rsid w:val="00B3732B"/>
    <w:rsid w:val="00B43706"/>
    <w:rsid w:val="00B477A7"/>
    <w:rsid w:val="00B515AF"/>
    <w:rsid w:val="00B563D5"/>
    <w:rsid w:val="00B61123"/>
    <w:rsid w:val="00B63F43"/>
    <w:rsid w:val="00B64AC0"/>
    <w:rsid w:val="00B7271C"/>
    <w:rsid w:val="00B7585A"/>
    <w:rsid w:val="00B7691F"/>
    <w:rsid w:val="00B76CD4"/>
    <w:rsid w:val="00B827EB"/>
    <w:rsid w:val="00B83618"/>
    <w:rsid w:val="00B843EB"/>
    <w:rsid w:val="00B84569"/>
    <w:rsid w:val="00B85090"/>
    <w:rsid w:val="00B85A90"/>
    <w:rsid w:val="00B8707E"/>
    <w:rsid w:val="00B9563A"/>
    <w:rsid w:val="00B974E7"/>
    <w:rsid w:val="00BB0653"/>
    <w:rsid w:val="00BB220C"/>
    <w:rsid w:val="00BB527A"/>
    <w:rsid w:val="00BB5922"/>
    <w:rsid w:val="00BB66C3"/>
    <w:rsid w:val="00BC278B"/>
    <w:rsid w:val="00BC4913"/>
    <w:rsid w:val="00BC60D8"/>
    <w:rsid w:val="00BC6903"/>
    <w:rsid w:val="00BC7217"/>
    <w:rsid w:val="00BE04ED"/>
    <w:rsid w:val="00BE5779"/>
    <w:rsid w:val="00BE69CD"/>
    <w:rsid w:val="00BF5CCC"/>
    <w:rsid w:val="00BF61B4"/>
    <w:rsid w:val="00BF6866"/>
    <w:rsid w:val="00BF798E"/>
    <w:rsid w:val="00BF7BC4"/>
    <w:rsid w:val="00C00613"/>
    <w:rsid w:val="00C027B2"/>
    <w:rsid w:val="00C066DB"/>
    <w:rsid w:val="00C134EF"/>
    <w:rsid w:val="00C14C34"/>
    <w:rsid w:val="00C150C7"/>
    <w:rsid w:val="00C172B5"/>
    <w:rsid w:val="00C2684D"/>
    <w:rsid w:val="00C26AA6"/>
    <w:rsid w:val="00C30681"/>
    <w:rsid w:val="00C31AE1"/>
    <w:rsid w:val="00C33FAC"/>
    <w:rsid w:val="00C35DAD"/>
    <w:rsid w:val="00C367F2"/>
    <w:rsid w:val="00C40DF5"/>
    <w:rsid w:val="00C4340D"/>
    <w:rsid w:val="00C452B1"/>
    <w:rsid w:val="00C46F18"/>
    <w:rsid w:val="00C50791"/>
    <w:rsid w:val="00C51A2E"/>
    <w:rsid w:val="00C51F14"/>
    <w:rsid w:val="00C5216E"/>
    <w:rsid w:val="00C64951"/>
    <w:rsid w:val="00C6697F"/>
    <w:rsid w:val="00C749FD"/>
    <w:rsid w:val="00C84597"/>
    <w:rsid w:val="00C91C72"/>
    <w:rsid w:val="00C92BEB"/>
    <w:rsid w:val="00C95930"/>
    <w:rsid w:val="00CA57A5"/>
    <w:rsid w:val="00CA6AFA"/>
    <w:rsid w:val="00CB240E"/>
    <w:rsid w:val="00CC0D72"/>
    <w:rsid w:val="00CC3968"/>
    <w:rsid w:val="00CC7361"/>
    <w:rsid w:val="00CD0982"/>
    <w:rsid w:val="00CD1DAE"/>
    <w:rsid w:val="00CD35A4"/>
    <w:rsid w:val="00CD75F1"/>
    <w:rsid w:val="00CD7656"/>
    <w:rsid w:val="00CE227D"/>
    <w:rsid w:val="00CE4335"/>
    <w:rsid w:val="00CE53D6"/>
    <w:rsid w:val="00CE6EC8"/>
    <w:rsid w:val="00CF5C56"/>
    <w:rsid w:val="00D00CC0"/>
    <w:rsid w:val="00D07EA8"/>
    <w:rsid w:val="00D13F41"/>
    <w:rsid w:val="00D14CBE"/>
    <w:rsid w:val="00D17A7C"/>
    <w:rsid w:val="00D17CED"/>
    <w:rsid w:val="00D20DEC"/>
    <w:rsid w:val="00D242E0"/>
    <w:rsid w:val="00D27094"/>
    <w:rsid w:val="00D303D0"/>
    <w:rsid w:val="00D357A2"/>
    <w:rsid w:val="00D37C9E"/>
    <w:rsid w:val="00D40DB2"/>
    <w:rsid w:val="00D41696"/>
    <w:rsid w:val="00D4190C"/>
    <w:rsid w:val="00D5428A"/>
    <w:rsid w:val="00D60C54"/>
    <w:rsid w:val="00D63FFB"/>
    <w:rsid w:val="00D665A1"/>
    <w:rsid w:val="00D70E8E"/>
    <w:rsid w:val="00D76479"/>
    <w:rsid w:val="00D80FC4"/>
    <w:rsid w:val="00D829A6"/>
    <w:rsid w:val="00D96500"/>
    <w:rsid w:val="00DA5579"/>
    <w:rsid w:val="00DA5C54"/>
    <w:rsid w:val="00DB051B"/>
    <w:rsid w:val="00DB11A4"/>
    <w:rsid w:val="00DB6562"/>
    <w:rsid w:val="00DB754B"/>
    <w:rsid w:val="00DB7DA6"/>
    <w:rsid w:val="00DC0B86"/>
    <w:rsid w:val="00DC1965"/>
    <w:rsid w:val="00DC7CF2"/>
    <w:rsid w:val="00DD1864"/>
    <w:rsid w:val="00DD1B61"/>
    <w:rsid w:val="00DD3537"/>
    <w:rsid w:val="00DD478F"/>
    <w:rsid w:val="00DD6611"/>
    <w:rsid w:val="00DD7498"/>
    <w:rsid w:val="00DE5EA2"/>
    <w:rsid w:val="00DE704B"/>
    <w:rsid w:val="00DE7581"/>
    <w:rsid w:val="00DF227D"/>
    <w:rsid w:val="00DF3343"/>
    <w:rsid w:val="00DF34AF"/>
    <w:rsid w:val="00DF48C4"/>
    <w:rsid w:val="00DF6AC1"/>
    <w:rsid w:val="00E00C46"/>
    <w:rsid w:val="00E14035"/>
    <w:rsid w:val="00E1547B"/>
    <w:rsid w:val="00E1785C"/>
    <w:rsid w:val="00E178D7"/>
    <w:rsid w:val="00E2320F"/>
    <w:rsid w:val="00E27114"/>
    <w:rsid w:val="00E30EFD"/>
    <w:rsid w:val="00E31C2C"/>
    <w:rsid w:val="00E40492"/>
    <w:rsid w:val="00E42ED5"/>
    <w:rsid w:val="00E43A8E"/>
    <w:rsid w:val="00E52D5F"/>
    <w:rsid w:val="00E60DF5"/>
    <w:rsid w:val="00E62148"/>
    <w:rsid w:val="00E64787"/>
    <w:rsid w:val="00E76F27"/>
    <w:rsid w:val="00E8423F"/>
    <w:rsid w:val="00E90759"/>
    <w:rsid w:val="00E9117B"/>
    <w:rsid w:val="00E933BB"/>
    <w:rsid w:val="00E9404F"/>
    <w:rsid w:val="00EA4792"/>
    <w:rsid w:val="00EA7F73"/>
    <w:rsid w:val="00EB2A6F"/>
    <w:rsid w:val="00EB606A"/>
    <w:rsid w:val="00EB76DD"/>
    <w:rsid w:val="00EC1E42"/>
    <w:rsid w:val="00EC50EB"/>
    <w:rsid w:val="00ED00A3"/>
    <w:rsid w:val="00ED3396"/>
    <w:rsid w:val="00ED3585"/>
    <w:rsid w:val="00ED690A"/>
    <w:rsid w:val="00EE40E8"/>
    <w:rsid w:val="00EE54B7"/>
    <w:rsid w:val="00EE7C8A"/>
    <w:rsid w:val="00EF104C"/>
    <w:rsid w:val="00EF7B9D"/>
    <w:rsid w:val="00F02381"/>
    <w:rsid w:val="00F02782"/>
    <w:rsid w:val="00F076A2"/>
    <w:rsid w:val="00F20245"/>
    <w:rsid w:val="00F211FA"/>
    <w:rsid w:val="00F233A2"/>
    <w:rsid w:val="00F278A3"/>
    <w:rsid w:val="00F31CD1"/>
    <w:rsid w:val="00F40A79"/>
    <w:rsid w:val="00F43DD8"/>
    <w:rsid w:val="00F45834"/>
    <w:rsid w:val="00F46DAE"/>
    <w:rsid w:val="00F4793B"/>
    <w:rsid w:val="00F620D6"/>
    <w:rsid w:val="00F6629F"/>
    <w:rsid w:val="00F747A5"/>
    <w:rsid w:val="00F756ED"/>
    <w:rsid w:val="00F81E26"/>
    <w:rsid w:val="00F825AB"/>
    <w:rsid w:val="00F82D79"/>
    <w:rsid w:val="00F85B9B"/>
    <w:rsid w:val="00F8690C"/>
    <w:rsid w:val="00F94BA4"/>
    <w:rsid w:val="00F95498"/>
    <w:rsid w:val="00F96A84"/>
    <w:rsid w:val="00FB5150"/>
    <w:rsid w:val="00FC025D"/>
    <w:rsid w:val="00FC46E7"/>
    <w:rsid w:val="00FD0F9B"/>
    <w:rsid w:val="00FD2787"/>
    <w:rsid w:val="00FE480A"/>
    <w:rsid w:val="00FE6B4C"/>
    <w:rsid w:val="00FE713F"/>
    <w:rsid w:val="00FE72F2"/>
    <w:rsid w:val="00FF6D65"/>
    <w:rsid w:val="5882FE0A"/>
    <w:rsid w:val="6CD55ABE"/>
    <w:rsid w:val="70CC39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35EAE1"/>
  <w15:docId w15:val="{506F3D2B-A90D-4EB1-8361-94F94A90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nl-NL" w:eastAsia="fr-FR"/>
    </w:rPr>
  </w:style>
  <w:style w:type="paragraph" w:styleId="Heading2">
    <w:name w:val="heading 2"/>
    <w:basedOn w:val="Normal"/>
    <w:next w:val="Normal"/>
    <w:link w:val="Heading2Char"/>
    <w:qFormat/>
    <w:rsid w:val="00376993"/>
    <w:pPr>
      <w:keepNext/>
      <w:numPr>
        <w:ilvl w:val="1"/>
        <w:numId w:val="40"/>
      </w:numPr>
      <w:outlineLvl w:val="1"/>
    </w:pPr>
    <w:rPr>
      <w:sz w:val="24"/>
      <w:lang w:eastAsia="en-US"/>
    </w:rPr>
  </w:style>
  <w:style w:type="paragraph" w:styleId="Heading6">
    <w:name w:val="heading 6"/>
    <w:basedOn w:val="Normal"/>
    <w:next w:val="Normal"/>
    <w:qFormat/>
    <w:pPr>
      <w:keepNext/>
      <w:ind w:firstLine="708"/>
      <w:outlineLvl w:val="5"/>
    </w:pPr>
    <w:rPr>
      <w:b/>
      <w:i/>
      <w:sz w:val="24"/>
      <w:lang w:val="fr-FR" w:eastAsia="en-US"/>
    </w:rPr>
  </w:style>
  <w:style w:type="paragraph" w:styleId="Heading7">
    <w:name w:val="heading 7"/>
    <w:basedOn w:val="Normal"/>
    <w:next w:val="Normal"/>
    <w:qFormat/>
    <w:pPr>
      <w:keepNext/>
      <w:ind w:firstLine="708"/>
      <w:outlineLvl w:val="6"/>
    </w:pPr>
    <w:rPr>
      <w:b/>
      <w:sz w:val="24"/>
      <w:lang w:val="fr-BE" w:eastAsia="en-US"/>
    </w:rPr>
  </w:style>
  <w:style w:type="paragraph" w:styleId="Heading8">
    <w:name w:val="heading 8"/>
    <w:basedOn w:val="Normal"/>
    <w:next w:val="Normal"/>
    <w:qFormat/>
    <w:rsid w:val="00676BF2"/>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rPr>
      <w:lang w:val="nl-NL" w:eastAsia="fr-FR"/>
    </w:rPr>
  </w:style>
  <w:style w:type="character" w:customStyle="1" w:styleId="Standaardalinea-lettertype1">
    <w:name w:val="Standaardalinea-lettertype1"/>
    <w:rPr>
      <w:sz w:val="20"/>
    </w:rPr>
  </w:style>
  <w:style w:type="character" w:customStyle="1" w:styleId="Paginanummer1">
    <w:name w:val="Paginanummer1"/>
    <w:rPr>
      <w:sz w:val="20"/>
    </w:rPr>
  </w:style>
  <w:style w:type="paragraph" w:customStyle="1" w:styleId="Koptekst1">
    <w:name w:val="Koptekst1"/>
    <w:basedOn w:val="Standaard1"/>
    <w:pPr>
      <w:tabs>
        <w:tab w:val="center" w:pos="4153"/>
        <w:tab w:val="right" w:pos="8306"/>
      </w:tabs>
    </w:pPr>
  </w:style>
  <w:style w:type="paragraph" w:customStyle="1" w:styleId="Voettekst1">
    <w:name w:val="Voettekst1"/>
    <w:basedOn w:val="Standaard1"/>
    <w:pPr>
      <w:tabs>
        <w:tab w:val="center" w:pos="4153"/>
        <w:tab w:val="right" w:pos="8306"/>
      </w:tabs>
    </w:pPr>
  </w:style>
  <w:style w:type="paragraph" w:customStyle="1" w:styleId="Plattetekstinspringen1">
    <w:name w:val="Platte tekst inspringen1"/>
    <w:basedOn w:val="Standaard1"/>
    <w:pPr>
      <w:ind w:left="2160"/>
      <w:jc w:val="both"/>
    </w:pPr>
    <w:rPr>
      <w:i/>
    </w:rPr>
  </w:style>
  <w:style w:type="paragraph" w:customStyle="1" w:styleId="Plattetekstinspringen21">
    <w:name w:val="Platte tekst inspringen 21"/>
    <w:basedOn w:val="Standaard1"/>
    <w:pPr>
      <w:ind w:left="1416"/>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851"/>
      </w:tabs>
      <w:ind w:left="2552" w:hanging="284"/>
      <w:jc w:val="both"/>
    </w:pPr>
    <w:rPr>
      <w:sz w:val="24"/>
      <w:lang w:val="fr-BE"/>
    </w:rPr>
  </w:style>
  <w:style w:type="paragraph" w:styleId="BodyTextIndent3">
    <w:name w:val="Body Text Indent 3"/>
    <w:basedOn w:val="Normal"/>
    <w:pPr>
      <w:tabs>
        <w:tab w:val="left" w:pos="851"/>
        <w:tab w:val="left" w:pos="2127"/>
        <w:tab w:val="left" w:pos="2268"/>
      </w:tabs>
      <w:ind w:left="2268" w:hanging="2268"/>
      <w:jc w:val="both"/>
    </w:pPr>
    <w:rPr>
      <w:sz w:val="24"/>
      <w:lang w:val="fr-BE"/>
    </w:rPr>
  </w:style>
  <w:style w:type="character" w:styleId="PageNumber">
    <w:name w:val="page number"/>
    <w:basedOn w:val="DefaultParagraphFont"/>
  </w:style>
  <w:style w:type="paragraph" w:styleId="FootnoteText">
    <w:name w:val="footnote text"/>
    <w:basedOn w:val="Normal"/>
    <w:semiHidden/>
    <w:rPr>
      <w:sz w:val="24"/>
      <w:lang w:val="fr-BE" w:eastAsia="en-US"/>
    </w:rPr>
  </w:style>
  <w:style w:type="character" w:styleId="FootnoteReference">
    <w:name w:val="footnote reference"/>
    <w:semiHidden/>
    <w:rsid w:val="003316A9"/>
    <w:rPr>
      <w:vertAlign w:val="superscript"/>
    </w:rPr>
  </w:style>
  <w:style w:type="character" w:styleId="CommentReference">
    <w:name w:val="annotation reference"/>
    <w:rsid w:val="00AD52B0"/>
    <w:rPr>
      <w:sz w:val="16"/>
      <w:szCs w:val="16"/>
    </w:rPr>
  </w:style>
  <w:style w:type="paragraph" w:styleId="CommentText">
    <w:name w:val="annotation text"/>
    <w:basedOn w:val="Normal"/>
    <w:link w:val="CommentTextChar"/>
    <w:rsid w:val="00AD52B0"/>
  </w:style>
  <w:style w:type="character" w:customStyle="1" w:styleId="CommentTextChar">
    <w:name w:val="Comment Text Char"/>
    <w:link w:val="CommentText"/>
    <w:rsid w:val="00AD52B0"/>
    <w:rPr>
      <w:lang w:val="en-GB" w:eastAsia="fr-FR"/>
    </w:rPr>
  </w:style>
  <w:style w:type="paragraph" w:styleId="CommentSubject">
    <w:name w:val="annotation subject"/>
    <w:basedOn w:val="CommentText"/>
    <w:next w:val="CommentText"/>
    <w:link w:val="CommentSubjectChar"/>
    <w:rsid w:val="00AD52B0"/>
    <w:rPr>
      <w:b/>
      <w:bCs/>
    </w:rPr>
  </w:style>
  <w:style w:type="character" w:customStyle="1" w:styleId="CommentSubjectChar">
    <w:name w:val="Comment Subject Char"/>
    <w:link w:val="CommentSubject"/>
    <w:rsid w:val="00AD52B0"/>
    <w:rPr>
      <w:b/>
      <w:bCs/>
      <w:lang w:val="en-GB" w:eastAsia="fr-FR"/>
    </w:rPr>
  </w:style>
  <w:style w:type="paragraph" w:styleId="BalloonText">
    <w:name w:val="Balloon Text"/>
    <w:basedOn w:val="Normal"/>
    <w:link w:val="BalloonTextChar"/>
    <w:rsid w:val="00AD52B0"/>
    <w:rPr>
      <w:rFonts w:ascii="Segoe UI" w:hAnsi="Segoe UI" w:cs="Segoe UI"/>
      <w:sz w:val="18"/>
      <w:szCs w:val="18"/>
    </w:rPr>
  </w:style>
  <w:style w:type="character" w:customStyle="1" w:styleId="BalloonTextChar">
    <w:name w:val="Balloon Text Char"/>
    <w:link w:val="BalloonText"/>
    <w:rsid w:val="00AD52B0"/>
    <w:rPr>
      <w:rFonts w:ascii="Segoe UI" w:hAnsi="Segoe UI" w:cs="Segoe UI"/>
      <w:sz w:val="18"/>
      <w:szCs w:val="18"/>
      <w:lang w:val="en-GB" w:eastAsia="fr-FR"/>
    </w:rPr>
  </w:style>
  <w:style w:type="paragraph" w:styleId="ListParagraph">
    <w:name w:val="List Paragraph"/>
    <w:basedOn w:val="Normal"/>
    <w:uiPriority w:val="34"/>
    <w:qFormat/>
    <w:rsid w:val="000B5F76"/>
    <w:pPr>
      <w:ind w:left="708"/>
    </w:pPr>
  </w:style>
  <w:style w:type="character" w:customStyle="1" w:styleId="Mention1">
    <w:name w:val="Mention1"/>
    <w:uiPriority w:val="99"/>
    <w:semiHidden/>
    <w:unhideWhenUsed/>
    <w:rsid w:val="004A530F"/>
    <w:rPr>
      <w:color w:val="2B579A"/>
      <w:shd w:val="clear" w:color="auto" w:fill="E6E6E6"/>
    </w:rPr>
  </w:style>
  <w:style w:type="table" w:customStyle="1" w:styleId="TableGrid1">
    <w:name w:val="Table Grid1"/>
    <w:basedOn w:val="TableNormal"/>
    <w:next w:val="TableGrid"/>
    <w:uiPriority w:val="59"/>
    <w:rsid w:val="00F20245"/>
    <w:pPr>
      <w:jc w:val="both"/>
    </w:pPr>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2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1725"/>
    <w:rPr>
      <w:lang w:val="en-GB" w:eastAsia="fr-FR"/>
    </w:rPr>
  </w:style>
  <w:style w:type="paragraph" w:customStyle="1" w:styleId="Standaard2">
    <w:name w:val="Standaard2"/>
    <w:rsid w:val="00FE713F"/>
    <w:rPr>
      <w:lang w:val="nl-NL" w:eastAsia="fr-FR"/>
    </w:rPr>
  </w:style>
  <w:style w:type="character" w:customStyle="1" w:styleId="UnresolvedMention1">
    <w:name w:val="Unresolved Mention1"/>
    <w:basedOn w:val="DefaultParagraphFont"/>
    <w:uiPriority w:val="99"/>
    <w:semiHidden/>
    <w:unhideWhenUsed/>
    <w:rsid w:val="004960E3"/>
    <w:rPr>
      <w:color w:val="808080"/>
      <w:shd w:val="clear" w:color="auto" w:fill="E6E6E6"/>
    </w:rPr>
  </w:style>
  <w:style w:type="character" w:customStyle="1" w:styleId="A11">
    <w:name w:val="A11"/>
    <w:uiPriority w:val="99"/>
    <w:rsid w:val="00664312"/>
    <w:rPr>
      <w:rFonts w:cs="Minion Pro"/>
      <w:color w:val="000000"/>
      <w:sz w:val="14"/>
      <w:szCs w:val="14"/>
    </w:rPr>
  </w:style>
  <w:style w:type="character" w:customStyle="1" w:styleId="Heading2Char">
    <w:name w:val="Heading 2 Char"/>
    <w:basedOn w:val="DefaultParagraphFont"/>
    <w:link w:val="Heading2"/>
    <w:rsid w:val="00376993"/>
    <w:rPr>
      <w:sz w:val="24"/>
      <w:lang w:val="nl-NL" w:eastAsia="en-US"/>
    </w:rPr>
  </w:style>
  <w:style w:type="paragraph" w:styleId="BodyTextIndent">
    <w:name w:val="Body Text Indent"/>
    <w:basedOn w:val="Normal"/>
    <w:link w:val="BodyTextIndentChar"/>
    <w:semiHidden/>
    <w:unhideWhenUsed/>
    <w:rsid w:val="00595354"/>
    <w:pPr>
      <w:spacing w:after="120"/>
      <w:ind w:left="283"/>
    </w:pPr>
  </w:style>
  <w:style w:type="character" w:customStyle="1" w:styleId="BodyTextIndentChar">
    <w:name w:val="Body Text Indent Char"/>
    <w:basedOn w:val="DefaultParagraphFont"/>
    <w:link w:val="BodyTextIndent"/>
    <w:semiHidden/>
    <w:rsid w:val="00595354"/>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61664">
      <w:bodyDiv w:val="1"/>
      <w:marLeft w:val="0"/>
      <w:marRight w:val="0"/>
      <w:marTop w:val="0"/>
      <w:marBottom w:val="0"/>
      <w:divBdr>
        <w:top w:val="none" w:sz="0" w:space="0" w:color="auto"/>
        <w:left w:val="none" w:sz="0" w:space="0" w:color="auto"/>
        <w:bottom w:val="none" w:sz="0" w:space="0" w:color="auto"/>
        <w:right w:val="none" w:sz="0" w:space="0" w:color="auto"/>
      </w:divBdr>
      <w:divsChild>
        <w:div w:id="2033263072">
          <w:marLeft w:val="0"/>
          <w:marRight w:val="0"/>
          <w:marTop w:val="0"/>
          <w:marBottom w:val="0"/>
          <w:divBdr>
            <w:top w:val="none" w:sz="0" w:space="0" w:color="auto"/>
            <w:left w:val="none" w:sz="0" w:space="0" w:color="auto"/>
            <w:bottom w:val="none" w:sz="0" w:space="0" w:color="auto"/>
            <w:right w:val="none" w:sz="0" w:space="0" w:color="auto"/>
          </w:divBdr>
          <w:divsChild>
            <w:div w:id="248319163">
              <w:marLeft w:val="225"/>
              <w:marRight w:val="0"/>
              <w:marTop w:val="150"/>
              <w:marBottom w:val="0"/>
              <w:divBdr>
                <w:top w:val="none" w:sz="0" w:space="0" w:color="auto"/>
                <w:left w:val="none" w:sz="0" w:space="0" w:color="auto"/>
                <w:bottom w:val="none" w:sz="0" w:space="0" w:color="auto"/>
                <w:right w:val="none" w:sz="0" w:space="0" w:color="auto"/>
              </w:divBdr>
              <w:divsChild>
                <w:div w:id="2106994291">
                  <w:marLeft w:val="0"/>
                  <w:marRight w:val="0"/>
                  <w:marTop w:val="0"/>
                  <w:marBottom w:val="0"/>
                  <w:divBdr>
                    <w:top w:val="single" w:sz="2" w:space="0" w:color="EAEBEB"/>
                    <w:left w:val="single" w:sz="2" w:space="0" w:color="EAEBEB"/>
                    <w:bottom w:val="single" w:sz="2" w:space="0" w:color="EAEBEB"/>
                    <w:right w:val="single" w:sz="6" w:space="0" w:color="EAEBEB"/>
                  </w:divBdr>
                  <w:divsChild>
                    <w:div w:id="341904865">
                      <w:marLeft w:val="0"/>
                      <w:marRight w:val="0"/>
                      <w:marTop w:val="0"/>
                      <w:marBottom w:val="0"/>
                      <w:divBdr>
                        <w:top w:val="none" w:sz="0" w:space="0" w:color="auto"/>
                        <w:left w:val="none" w:sz="0" w:space="0" w:color="auto"/>
                        <w:bottom w:val="none" w:sz="0" w:space="0" w:color="auto"/>
                        <w:right w:val="none" w:sz="0" w:space="0" w:color="auto"/>
                      </w:divBdr>
                      <w:divsChild>
                        <w:div w:id="410736129">
                          <w:marLeft w:val="0"/>
                          <w:marRight w:val="0"/>
                          <w:marTop w:val="0"/>
                          <w:marBottom w:val="0"/>
                          <w:divBdr>
                            <w:top w:val="none" w:sz="0" w:space="0" w:color="auto"/>
                            <w:left w:val="none" w:sz="0" w:space="0" w:color="auto"/>
                            <w:bottom w:val="none" w:sz="0" w:space="0" w:color="auto"/>
                            <w:right w:val="none" w:sz="0" w:space="0" w:color="auto"/>
                          </w:divBdr>
                          <w:divsChild>
                            <w:div w:id="16879027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343730">
      <w:bodyDiv w:val="1"/>
      <w:marLeft w:val="0"/>
      <w:marRight w:val="0"/>
      <w:marTop w:val="0"/>
      <w:marBottom w:val="0"/>
      <w:divBdr>
        <w:top w:val="none" w:sz="0" w:space="0" w:color="auto"/>
        <w:left w:val="none" w:sz="0" w:space="0" w:color="auto"/>
        <w:bottom w:val="none" w:sz="0" w:space="0" w:color="auto"/>
        <w:right w:val="none" w:sz="0" w:space="0" w:color="auto"/>
      </w:divBdr>
    </w:div>
    <w:div w:id="1140151110">
      <w:bodyDiv w:val="1"/>
      <w:marLeft w:val="0"/>
      <w:marRight w:val="0"/>
      <w:marTop w:val="0"/>
      <w:marBottom w:val="0"/>
      <w:divBdr>
        <w:top w:val="none" w:sz="0" w:space="0" w:color="auto"/>
        <w:left w:val="none" w:sz="0" w:space="0" w:color="auto"/>
        <w:bottom w:val="none" w:sz="0" w:space="0" w:color="auto"/>
        <w:right w:val="none" w:sz="0" w:space="0" w:color="auto"/>
      </w:divBdr>
      <w:divsChild>
        <w:div w:id="715591259">
          <w:marLeft w:val="0"/>
          <w:marRight w:val="0"/>
          <w:marTop w:val="0"/>
          <w:marBottom w:val="0"/>
          <w:divBdr>
            <w:top w:val="none" w:sz="0" w:space="0" w:color="auto"/>
            <w:left w:val="none" w:sz="0" w:space="0" w:color="auto"/>
            <w:bottom w:val="none" w:sz="0" w:space="0" w:color="auto"/>
            <w:right w:val="none" w:sz="0" w:space="0" w:color="auto"/>
          </w:divBdr>
          <w:divsChild>
            <w:div w:id="1286546492">
              <w:marLeft w:val="0"/>
              <w:marRight w:val="0"/>
              <w:marTop w:val="0"/>
              <w:marBottom w:val="0"/>
              <w:divBdr>
                <w:top w:val="none" w:sz="0" w:space="0" w:color="auto"/>
                <w:left w:val="none" w:sz="0" w:space="0" w:color="auto"/>
                <w:bottom w:val="none" w:sz="0" w:space="0" w:color="auto"/>
                <w:right w:val="none" w:sz="0" w:space="0" w:color="auto"/>
              </w:divBdr>
              <w:divsChild>
                <w:div w:id="536092289">
                  <w:marLeft w:val="0"/>
                  <w:marRight w:val="0"/>
                  <w:marTop w:val="0"/>
                  <w:marBottom w:val="0"/>
                  <w:divBdr>
                    <w:top w:val="none" w:sz="0" w:space="0" w:color="auto"/>
                    <w:left w:val="none" w:sz="0" w:space="0" w:color="auto"/>
                    <w:bottom w:val="none" w:sz="0" w:space="0" w:color="auto"/>
                    <w:right w:val="none" w:sz="0" w:space="0" w:color="auto"/>
                  </w:divBdr>
                  <w:divsChild>
                    <w:div w:id="126705251">
                      <w:marLeft w:val="0"/>
                      <w:marRight w:val="0"/>
                      <w:marTop w:val="0"/>
                      <w:marBottom w:val="0"/>
                      <w:divBdr>
                        <w:top w:val="none" w:sz="0" w:space="0" w:color="auto"/>
                        <w:left w:val="none" w:sz="0" w:space="0" w:color="auto"/>
                        <w:bottom w:val="none" w:sz="0" w:space="0" w:color="auto"/>
                        <w:right w:val="none" w:sz="0" w:space="0" w:color="auto"/>
                      </w:divBdr>
                      <w:divsChild>
                        <w:div w:id="1011178826">
                          <w:marLeft w:val="0"/>
                          <w:marRight w:val="0"/>
                          <w:marTop w:val="0"/>
                          <w:marBottom w:val="0"/>
                          <w:divBdr>
                            <w:top w:val="none" w:sz="0" w:space="0" w:color="auto"/>
                            <w:left w:val="none" w:sz="0" w:space="0" w:color="auto"/>
                            <w:bottom w:val="none" w:sz="0" w:space="0" w:color="auto"/>
                            <w:right w:val="none" w:sz="0" w:space="0" w:color="auto"/>
                          </w:divBdr>
                          <w:divsChild>
                            <w:div w:id="1264074337">
                              <w:marLeft w:val="0"/>
                              <w:marRight w:val="0"/>
                              <w:marTop w:val="0"/>
                              <w:marBottom w:val="0"/>
                              <w:divBdr>
                                <w:top w:val="none" w:sz="0" w:space="0" w:color="auto"/>
                                <w:left w:val="none" w:sz="0" w:space="0" w:color="auto"/>
                                <w:bottom w:val="none" w:sz="0" w:space="0" w:color="auto"/>
                                <w:right w:val="none" w:sz="0" w:space="0" w:color="auto"/>
                              </w:divBdr>
                              <w:divsChild>
                                <w:div w:id="649361035">
                                  <w:marLeft w:val="0"/>
                                  <w:marRight w:val="0"/>
                                  <w:marTop w:val="0"/>
                                  <w:marBottom w:val="0"/>
                                  <w:divBdr>
                                    <w:top w:val="none" w:sz="0" w:space="0" w:color="auto"/>
                                    <w:left w:val="none" w:sz="0" w:space="0" w:color="auto"/>
                                    <w:bottom w:val="none" w:sz="0" w:space="0" w:color="auto"/>
                                    <w:right w:val="none" w:sz="0" w:space="0" w:color="auto"/>
                                  </w:divBdr>
                                  <w:divsChild>
                                    <w:div w:id="2104648041">
                                      <w:marLeft w:val="0"/>
                                      <w:marRight w:val="0"/>
                                      <w:marTop w:val="0"/>
                                      <w:marBottom w:val="0"/>
                                      <w:divBdr>
                                        <w:top w:val="none" w:sz="0" w:space="0" w:color="auto"/>
                                        <w:left w:val="none" w:sz="0" w:space="0" w:color="auto"/>
                                        <w:bottom w:val="none" w:sz="0" w:space="0" w:color="auto"/>
                                        <w:right w:val="none" w:sz="0" w:space="0" w:color="auto"/>
                                      </w:divBdr>
                                      <w:divsChild>
                                        <w:div w:id="803694189">
                                          <w:marLeft w:val="0"/>
                                          <w:marRight w:val="0"/>
                                          <w:marTop w:val="0"/>
                                          <w:marBottom w:val="0"/>
                                          <w:divBdr>
                                            <w:top w:val="none" w:sz="0" w:space="0" w:color="auto"/>
                                            <w:left w:val="none" w:sz="0" w:space="0" w:color="auto"/>
                                            <w:bottom w:val="none" w:sz="0" w:space="0" w:color="auto"/>
                                            <w:right w:val="none" w:sz="0" w:space="0" w:color="auto"/>
                                          </w:divBdr>
                                          <w:divsChild>
                                            <w:div w:id="1860392180">
                                              <w:marLeft w:val="0"/>
                                              <w:marRight w:val="0"/>
                                              <w:marTop w:val="0"/>
                                              <w:marBottom w:val="0"/>
                                              <w:divBdr>
                                                <w:top w:val="none" w:sz="0" w:space="0" w:color="auto"/>
                                                <w:left w:val="none" w:sz="0" w:space="0" w:color="auto"/>
                                                <w:bottom w:val="none" w:sz="0" w:space="0" w:color="auto"/>
                                                <w:right w:val="none" w:sz="0" w:space="0" w:color="auto"/>
                                              </w:divBdr>
                                              <w:divsChild>
                                                <w:div w:id="1518345718">
                                                  <w:marLeft w:val="0"/>
                                                  <w:marRight w:val="0"/>
                                                  <w:marTop w:val="0"/>
                                                  <w:marBottom w:val="0"/>
                                                  <w:divBdr>
                                                    <w:top w:val="none" w:sz="0" w:space="0" w:color="auto"/>
                                                    <w:left w:val="none" w:sz="0" w:space="0" w:color="auto"/>
                                                    <w:bottom w:val="none" w:sz="0" w:space="0" w:color="auto"/>
                                                    <w:right w:val="none" w:sz="0" w:space="0" w:color="auto"/>
                                                  </w:divBdr>
                                                  <w:divsChild>
                                                    <w:div w:id="599601821">
                                                      <w:marLeft w:val="0"/>
                                                      <w:marRight w:val="0"/>
                                                      <w:marTop w:val="0"/>
                                                      <w:marBottom w:val="0"/>
                                                      <w:divBdr>
                                                        <w:top w:val="none" w:sz="0" w:space="0" w:color="auto"/>
                                                        <w:left w:val="none" w:sz="0" w:space="0" w:color="auto"/>
                                                        <w:bottom w:val="none" w:sz="0" w:space="0" w:color="auto"/>
                                                        <w:right w:val="none" w:sz="0" w:space="0" w:color="auto"/>
                                                      </w:divBdr>
                                                      <w:divsChild>
                                                        <w:div w:id="193540958">
                                                          <w:marLeft w:val="0"/>
                                                          <w:marRight w:val="0"/>
                                                          <w:marTop w:val="0"/>
                                                          <w:marBottom w:val="0"/>
                                                          <w:divBdr>
                                                            <w:top w:val="none" w:sz="0" w:space="0" w:color="auto"/>
                                                            <w:left w:val="none" w:sz="0" w:space="0" w:color="auto"/>
                                                            <w:bottom w:val="none" w:sz="0" w:space="0" w:color="auto"/>
                                                            <w:right w:val="none" w:sz="0" w:space="0" w:color="auto"/>
                                                          </w:divBdr>
                                                          <w:divsChild>
                                                            <w:div w:id="365525921">
                                                              <w:marLeft w:val="0"/>
                                                              <w:marRight w:val="0"/>
                                                              <w:marTop w:val="0"/>
                                                              <w:marBottom w:val="0"/>
                                                              <w:divBdr>
                                                                <w:top w:val="none" w:sz="0" w:space="0" w:color="auto"/>
                                                                <w:left w:val="none" w:sz="0" w:space="0" w:color="auto"/>
                                                                <w:bottom w:val="none" w:sz="0" w:space="0" w:color="auto"/>
                                                                <w:right w:val="none" w:sz="0" w:space="0" w:color="auto"/>
                                                              </w:divBdr>
                                                              <w:divsChild>
                                                                <w:div w:id="1186166609">
                                                                  <w:marLeft w:val="0"/>
                                                                  <w:marRight w:val="0"/>
                                                                  <w:marTop w:val="0"/>
                                                                  <w:marBottom w:val="0"/>
                                                                  <w:divBdr>
                                                                    <w:top w:val="none" w:sz="0" w:space="0" w:color="auto"/>
                                                                    <w:left w:val="none" w:sz="0" w:space="0" w:color="auto"/>
                                                                    <w:bottom w:val="none" w:sz="0" w:space="0" w:color="auto"/>
                                                                    <w:right w:val="none" w:sz="0" w:space="0" w:color="auto"/>
                                                                  </w:divBdr>
                                                                  <w:divsChild>
                                                                    <w:div w:id="101921494">
                                                                      <w:marLeft w:val="0"/>
                                                                      <w:marRight w:val="0"/>
                                                                      <w:marTop w:val="0"/>
                                                                      <w:marBottom w:val="0"/>
                                                                      <w:divBdr>
                                                                        <w:top w:val="none" w:sz="0" w:space="0" w:color="auto"/>
                                                                        <w:left w:val="none" w:sz="0" w:space="0" w:color="auto"/>
                                                                        <w:bottom w:val="none" w:sz="0" w:space="0" w:color="auto"/>
                                                                        <w:right w:val="none" w:sz="0" w:space="0" w:color="auto"/>
                                                                      </w:divBdr>
                                                                      <w:divsChild>
                                                                        <w:div w:id="479469870">
                                                                          <w:marLeft w:val="0"/>
                                                                          <w:marRight w:val="0"/>
                                                                          <w:marTop w:val="0"/>
                                                                          <w:marBottom w:val="0"/>
                                                                          <w:divBdr>
                                                                            <w:top w:val="none" w:sz="0" w:space="0" w:color="auto"/>
                                                                            <w:left w:val="none" w:sz="0" w:space="0" w:color="auto"/>
                                                                            <w:bottom w:val="none" w:sz="0" w:space="0" w:color="auto"/>
                                                                            <w:right w:val="none" w:sz="0" w:space="0" w:color="auto"/>
                                                                          </w:divBdr>
                                                                          <w:divsChild>
                                                                            <w:div w:id="949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crc.org/fr/download/file/1874/commissions_national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icrc.org/fr/document/tableau-des-commissions-et-autres-instances-nationales-de-droit-international-humanitai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idh.b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hr.be/nl/evenement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idh.be/nl/raadgevende-adviez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53EA356624D4C8A11D4790A8CD600" ma:contentTypeVersion="6" ma:contentTypeDescription="Create a new document." ma:contentTypeScope="" ma:versionID="f78f1f44c13431d7886027d05d98c86e">
  <xsd:schema xmlns:xsd="http://www.w3.org/2001/XMLSchema" xmlns:xs="http://www.w3.org/2001/XMLSchema" xmlns:p="http://schemas.microsoft.com/office/2006/metadata/properties" xmlns:ns2="c56942e3-8169-4347-b43d-5b18a3fcaa9b" targetNamespace="http://schemas.microsoft.com/office/2006/metadata/properties" ma:root="true" ma:fieldsID="2261f28e0d35ea9003557012286efd2b" ns2:_="">
    <xsd:import namespace="c56942e3-8169-4347-b43d-5b18a3fcaa9b"/>
    <xsd:element name="properties">
      <xsd:complexType>
        <xsd:sequence>
          <xsd:element name="documentManagement">
            <xsd:complexType>
              <xsd:all>
                <xsd:element ref="ns2:_x0031_6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942e3-8169-4347-b43d-5b18a3fcaa9b" elementFormDefault="qualified">
    <xsd:import namespace="http://schemas.microsoft.com/office/2006/documentManagement/types"/>
    <xsd:import namespace="http://schemas.microsoft.com/office/infopath/2007/PartnerControls"/>
    <xsd:element name="_x0031_6_Language" ma:index="4" nillable="true" ma:displayName="Language" ma:default="FR" ma:format="Dropdown" ma:internalName="_x0031_6_Language" ma:readOnly="false">
      <xsd:simpleType>
        <xsd:restriction base="dms:Choice">
          <xsd:enumeration value="NL"/>
          <xsd:enumeration value="FR"/>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1_6_Language xmlns="c56942e3-8169-4347-b43d-5b18a3fcaa9b">FR</_x0031_6_Languag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0D8F-E7A7-46CE-A412-755718EA3523}">
  <ds:schemaRefs>
    <ds:schemaRef ds:uri="http://schemas.microsoft.com/sharepoint/v3/contenttype/forms"/>
  </ds:schemaRefs>
</ds:datastoreItem>
</file>

<file path=customXml/itemProps2.xml><?xml version="1.0" encoding="utf-8"?>
<ds:datastoreItem xmlns:ds="http://schemas.openxmlformats.org/officeDocument/2006/customXml" ds:itemID="{6C4D798A-C898-43F7-837C-275C4D70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942e3-8169-4347-b43d-5b18a3fca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0AFBF-8012-4E4B-8C30-63EE3852CE36}">
  <ds:schemaRefs>
    <ds:schemaRef ds:uri="http://purl.org/dc/elements/1.1/"/>
    <ds:schemaRef ds:uri="c56942e3-8169-4347-b43d-5b18a3fcaa9b"/>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D7CD6EB-0F7E-4EE8-8324-296342BE8F9E}">
  <ds:schemaRefs>
    <ds:schemaRef ds:uri="http://schemas.microsoft.com/office/2006/metadata/longProperties"/>
  </ds:schemaRefs>
</ds:datastoreItem>
</file>

<file path=customXml/itemProps5.xml><?xml version="1.0" encoding="utf-8"?>
<ds:datastoreItem xmlns:ds="http://schemas.openxmlformats.org/officeDocument/2006/customXml" ds:itemID="{E1871D16-7277-4E7E-85E8-2822F17B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5469</Words>
  <Characters>32601</Characters>
  <Application>Microsoft Office Word</Application>
  <DocSecurity>0</DocSecurity>
  <Lines>271</Lines>
  <Paragraphs>75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Doc 01 - Mesures nationales de mise en oeuvre des Conventions de Genève et des Protocoles additionnels.</vt:lpstr>
      <vt:lpstr>Doc 01 - Mesures nationales de mise en oeuvre des Conventions de Genève et des Protocoles additionnels.</vt:lpstr>
      <vt:lpstr>Doc 01 - Mesures nationales de mise en oeuvre des Conventions de Genève et des Protocoles additionnels.</vt:lpstr>
    </vt:vector>
  </TitlesOfParts>
  <Company>MDN-MLV</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01 - Mesures nationales de mise en oeuvre des Conventions de Genève et des Protocoles additionnels.</dc:title>
  <dc:creator>AGC-CM</dc:creator>
  <cp:lastModifiedBy>Van Grootenbruel Aude</cp:lastModifiedBy>
  <cp:revision>5</cp:revision>
  <cp:lastPrinted>2017-10-30T15:19:00Z</cp:lastPrinted>
  <dcterms:created xsi:type="dcterms:W3CDTF">2019-05-16T14:31:00Z</dcterms:created>
  <dcterms:modified xsi:type="dcterms:W3CDTF">2019-08-09T11:17:00Z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100.000000000000</vt:lpwstr>
  </property>
  <property fmtid="{D5CDD505-2E9C-101B-9397-08002B2CF9AE}" pid="3" name="display_urn:schemas-microsoft-com:office:office#Editor">
    <vt:lpwstr>Smets Nadine</vt:lpwstr>
  </property>
  <property fmtid="{D5CDD505-2E9C-101B-9397-08002B2CF9AE}" pid="4" name="display_urn:schemas-microsoft-com:office:office#Author">
    <vt:lpwstr>Smets Nadine</vt:lpwstr>
  </property>
  <property fmtid="{D5CDD505-2E9C-101B-9397-08002B2CF9AE}" pid="5" name="ContentTypeId">
    <vt:lpwstr>0x010100A8F53EA356624D4C8A11D4790A8CD600</vt:lpwstr>
  </property>
  <property fmtid="{D5CDD505-2E9C-101B-9397-08002B2CF9AE}" pid="6" name="TitusGUID">
    <vt:lpwstr>491f67c8-a292-44cc-9e1b-51c151aef3bb</vt:lpwstr>
  </property>
  <property fmtid="{D5CDD505-2E9C-101B-9397-08002B2CF9AE}" pid="7" name="BE_ForeignAffairsClassification">
    <vt:lpwstr>Usage interne - N5 - Intern gebruik</vt:lpwstr>
  </property>
  <property fmtid="{D5CDD505-2E9C-101B-9397-08002B2CF9AE}" pid="8" name="BE_ForeignAffairsMarkering">
    <vt:lpwstr>Markering actief - Marquage actif</vt:lpwstr>
  </property>
</Properties>
</file>